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webp" ContentType="image/webp"/>
  <Override PartName="/word/media/image3.webp" ContentType="image/webp"/>
  <Override PartName="/word/media/image4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3717C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center"/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Практикум по использованию фигур танграма на уроках геометрии в 7-9 классах</w:t>
      </w:r>
    </w:p>
    <w:p w14:paraId="3DE2EAF9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Ключ к изучению геометрии -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интуитивное воображение</w:t>
      </w: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на основе знаний теоретического материала - фундамента процесса познания.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Анри Пуанкаре (французский учёный) говорил: "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Логика доказывает, а интуиция - творит.</w:t>
      </w: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… Без неё (интуиции) математик был бы похож на того писателя, который безупречен в правописании, но у которого нет мыслей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".</w:t>
      </w:r>
    </w:p>
    <w:p w14:paraId="667D45AE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Реализация (организация работы):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учить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наблюдать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и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сравнивать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, распознавать и совершать действия - подводящие пути к познанию понятия. С самых первых уроков изучения геометрии учащихся должны вырабатывать привычку - аргументировать свои действия. При решении геометрической задачи делать "от руки" эскиз, который должен быть верным, наглядным и полным. Хороший чертёж позволит решить задачу.</w:t>
      </w:r>
    </w:p>
    <w:p w14:paraId="728D6A95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Известно, что </w:t>
      </w: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индийские математики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, найдя логическое прозрение,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зримое доказательство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, рядом с соответствующим рисунком писали лаконично: "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Смотри!</w:t>
      </w: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"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Нужно обратить внимание учеников на равенство двух сторон и разную величину углов между ними. Попытаться построить квадраты на сторонах и получить теорему Пифагора для прямоугольного треугольника. Задача классическая.</w:t>
      </w:r>
    </w:p>
    <w:p w14:paraId="1DE72B44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С выполнения чертежа начинаются </w:t>
      </w: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проблемы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. Медленно и не с первого раза получается изображение. </w:t>
      </w: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Ведомый учителем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ученик должен научиться изображать только те фигуры, о которых идёт речь в задаче. В процессе же решения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дополнительные построении часто необходимы - другая, ещё </w:t>
      </w: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проблема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.</w:t>
      </w:r>
    </w:p>
    <w:p w14:paraId="238676D4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 геометрии очень важно уметь смотреть и видеть, замечать особенности геометрических фигур, делать выводы из замеченных особенностей. Эти умения, которые вместе можно назвать "геометрическим зрением", необходимо постоянно тренировать и развивать.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</w:p>
    <w:p w14:paraId="7CDDBC00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cs="Times New Roman"/>
          <w:sz w:val="24"/>
          <w:szCs w:val="24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Это побудило меня обратиться к игре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"Танграм".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Что из себя представляет Танграм?</w:t>
      </w:r>
      <w:r>
        <w:rPr>
          <w:rFonts w:hint="default" w:cs="Times New Roman"/>
          <w:sz w:val="24"/>
          <w:szCs w:val="24"/>
          <w:lang w:val="ru-RU"/>
        </w:rPr>
        <w:t xml:space="preserve"> Это к</w:t>
      </w:r>
      <w:r>
        <w:rPr>
          <w:rFonts w:hint="default" w:ascii="Times New Roman" w:hAnsi="Times New Roman" w:cs="Times New Roman"/>
          <w:sz w:val="24"/>
          <w:szCs w:val="24"/>
        </w:rPr>
        <w:t>вадрат</w:t>
      </w:r>
      <w:r>
        <w:rPr>
          <w:rFonts w:hint="default" w:cs="Times New Roman"/>
          <w:sz w:val="24"/>
          <w:szCs w:val="24"/>
          <w:lang w:val="ru-RU"/>
        </w:rPr>
        <w:t>,</w:t>
      </w:r>
      <w:r>
        <w:rPr>
          <w:rFonts w:hint="default" w:ascii="Times New Roman" w:hAnsi="Times New Roman" w:cs="Times New Roman"/>
          <w:sz w:val="24"/>
          <w:szCs w:val="24"/>
        </w:rPr>
        <w:t xml:space="preserve"> разрезанный на 7 частей</w:t>
      </w:r>
      <w:r>
        <w:rPr>
          <w:rFonts w:hint="default" w:cs="Times New Roman"/>
          <w:sz w:val="24"/>
          <w:szCs w:val="24"/>
          <w:lang w:val="ru-RU"/>
        </w:rPr>
        <w:t xml:space="preserve"> (танов)</w:t>
      </w:r>
      <w:r>
        <w:rPr>
          <w:rFonts w:hint="default" w:ascii="Times New Roman" w:hAnsi="Times New Roman" w:cs="Times New Roman"/>
          <w:sz w:val="24"/>
          <w:szCs w:val="24"/>
        </w:rPr>
        <w:t>: 2 больших треугольника, один средний, 2 маленьких треугольника, квадрат и параллелограмм</w:t>
      </w:r>
      <w:r>
        <w:rPr>
          <w:rFonts w:hint="default" w:cs="Times New Roman"/>
          <w:sz w:val="24"/>
          <w:szCs w:val="24"/>
          <w:lang w:val="ru-RU"/>
        </w:rPr>
        <w:t>.</w:t>
      </w:r>
    </w:p>
    <w:p w14:paraId="38345A9E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cs="Times New Roman"/>
          <w:sz w:val="24"/>
          <w:szCs w:val="24"/>
          <w:lang w:val="ru-RU"/>
        </w:rPr>
      </w:pPr>
      <w:r>
        <w:rPr>
          <w:rFonts w:cs="Times New Roman"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1243965</wp:posOffset>
            </wp:positionH>
            <wp:positionV relativeFrom="page">
              <wp:posOffset>8562975</wp:posOffset>
            </wp:positionV>
            <wp:extent cx="2059305" cy="2059305"/>
            <wp:effectExtent l="0" t="0" r="13335" b="13335"/>
            <wp:wrapSquare wrapText="bothSides"/>
            <wp:docPr id="21" name="Изображение 7" descr="f51d0d321a653255b7365614e400f58d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 7" descr="f51d0d321a653255b7365614e400f58d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9305" cy="205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F4D471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02465B86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066A37CF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5E06420D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758AD380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При прохождении всего материала: видов углов и треугольников, признаков равенства треугольников и параллельности прямых, </w:t>
      </w:r>
      <w:r>
        <w:rPr>
          <w:rFonts w:hint="default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многоугоьников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центральной и осевой симметрии, подобия и т. д. будут использоваться фигуры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танграма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 xml:space="preserve"> Например,</w:t>
      </w:r>
    </w:p>
    <w:p w14:paraId="05E270C9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За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дача 1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. Возьм</w:t>
      </w:r>
      <w:r>
        <w:rPr>
          <w:rStyle w:val="8"/>
          <w:rFonts w:hint="default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ите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 7 танов и ответ</w:t>
      </w:r>
      <w:r>
        <w:rPr>
          <w:rStyle w:val="8"/>
          <w:rFonts w:hint="default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>ьте</w:t>
      </w:r>
      <w:bookmarkStart w:id="0" w:name="_GoBack"/>
      <w:bookmarkEnd w:id="0"/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 xml:space="preserve"> на следующие вопросы, выделив условие и заключение:</w:t>
      </w:r>
    </w:p>
    <w:p w14:paraId="522DF91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Найдите общие свойства треугольников (выделите условие и заключение).</w:t>
      </w:r>
    </w:p>
    <w:p w14:paraId="25D9B61D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Выберите свойства, которые справедливы для равнобедренного треугольника.</w:t>
      </w:r>
    </w:p>
    <w:p w14:paraId="7E941E8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Что общего между квадратом и треугольником?</w:t>
      </w:r>
    </w:p>
    <w:p w14:paraId="0A0EC679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Зада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  <w:lang w:val="ru-RU"/>
        </w:rPr>
        <w:t xml:space="preserve">ча 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2. Расположите два треугольника так, чтобы были параллельны:</w:t>
      </w:r>
    </w:p>
    <w:p w14:paraId="43415BA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Катет одного треугольника - гипотенузе другого треугольника.</w:t>
      </w:r>
    </w:p>
    <w:p w14:paraId="3992DA0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Катет одного треугольника - катету другого треугольника.</w:t>
      </w:r>
    </w:p>
    <w:p w14:paraId="410396D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1810385</wp:posOffset>
            </wp:positionH>
            <wp:positionV relativeFrom="paragraph">
              <wp:posOffset>730250</wp:posOffset>
            </wp:positionV>
            <wp:extent cx="2259965" cy="1479550"/>
            <wp:effectExtent l="0" t="0" r="10795" b="13970"/>
            <wp:wrapSquare wrapText="bothSides"/>
            <wp:docPr id="15" name="Изображение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5" descr="IMG_2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59965" cy="1479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-109855</wp:posOffset>
            </wp:positionH>
            <wp:positionV relativeFrom="paragraph">
              <wp:posOffset>669925</wp:posOffset>
            </wp:positionV>
            <wp:extent cx="1783715" cy="1769110"/>
            <wp:effectExtent l="0" t="0" r="14605" b="13970"/>
            <wp:wrapSquare wrapText="bothSides"/>
            <wp:docPr id="16" name="Изображение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6" descr="IMG_2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3715" cy="1769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Все стороны одного треугольника параллельны - сторонам другого треугольника.</w:t>
      </w:r>
    </w:p>
    <w:p w14:paraId="33039BDB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434975</wp:posOffset>
            </wp:positionH>
            <wp:positionV relativeFrom="paragraph">
              <wp:posOffset>65405</wp:posOffset>
            </wp:positionV>
            <wp:extent cx="1519555" cy="1664335"/>
            <wp:effectExtent l="0" t="0" r="4445" b="12065"/>
            <wp:wrapSquare wrapText="bothSides"/>
            <wp:docPr id="17" name="Изображение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 7" descr="IMG_26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9555" cy="16643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43DE8AAC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</w:p>
    <w:p w14:paraId="2FC31A43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center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</w:p>
    <w:p w14:paraId="1ECA900F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756914B6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61620B88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</w:pPr>
    </w:p>
    <w:p w14:paraId="5FD5B43C">
      <w:pPr>
        <w:pStyle w:val="15"/>
        <w:keepNext w:val="0"/>
        <w:keepLines w:val="0"/>
        <w:widowControl/>
        <w:suppressLineNumbers w:val="0"/>
        <w:shd w:val="clear" w:fill="FFFFFF"/>
        <w:spacing w:before="0" w:beforeAutospacing="0"/>
        <w:ind w:left="0" w:firstLine="0"/>
        <w:jc w:val="both"/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</w:rPr>
      </w:pP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Выкладывание фигур способствует развитию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наглядно-образного мышления.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Подобная работа ускоряет процесс совершенствования навыков "геометрического зрения".</w:t>
      </w:r>
    </w:p>
    <w:p w14:paraId="5563D4ED">
      <w:pPr>
        <w:pStyle w:val="1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/>
        <w:rPr>
          <w:rFonts w:hint="default" w:ascii="Times New Roman" w:hAnsi="Times New Roman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Ученики, владеющие умением быстро собирать фигуры, могут анализировать и систематизировать процесс решения задачи, расчленяя её на поэтапное решение знакомых ему геометрических фигур. Для создания какой - либо фигуры требуется выполнение большого числа возможных вариантов действий, взаимодействия соответствующих его геометрических объектов. Интерес и "</w:t>
      </w: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опыт - сын ошибок трудных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…" формирует умения выбирать и оценить свои действия; делать логические выводы, строить прогнозы и обосновывать их, </w:t>
      </w:r>
      <w:r>
        <w:rPr>
          <w:rStyle w:val="6"/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активно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участвовать в познании, то есть 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"</w:t>
      </w:r>
      <w:r>
        <w:rPr>
          <w:rStyle w:val="6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учиться делая</w:t>
      </w:r>
      <w:r>
        <w:rPr>
          <w:rStyle w:val="8"/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".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212529"/>
          <w:spacing w:val="0"/>
          <w:sz w:val="24"/>
          <w:szCs w:val="24"/>
          <w:shd w:val="clear" w:fill="FFFFFF"/>
        </w:rPr>
        <w:t> </w:t>
      </w:r>
    </w:p>
    <w:p w14:paraId="53A1CAB2">
      <w:pPr>
        <w:pStyle w:val="1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Заключение</w:t>
      </w:r>
    </w:p>
    <w:p w14:paraId="667DB462">
      <w:pPr>
        <w:pStyle w:val="1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/>
        <w:ind w:left="0" w:right="0"/>
        <w:rPr>
          <w:rFonts w:hint="default" w:ascii="Times New Roman" w:hAnsi="Times New Roman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К</w:t>
      </w:r>
      <w:r>
        <w:rPr>
          <w:rFonts w:hint="default" w:ascii="Times New Roman" w:hAnsi="Times New Roman" w:cs="Times New Roman"/>
          <w:sz w:val="24"/>
          <w:szCs w:val="24"/>
        </w:rPr>
        <w:t xml:space="preserve">омбинируя на плоскости элементы разрезанного на части квадрата, можно создавать множество новых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геометрических </w:t>
      </w:r>
      <w:r>
        <w:rPr>
          <w:rFonts w:hint="default" w:ascii="Times New Roman" w:hAnsi="Times New Roman" w:cs="Times New Roman"/>
          <w:sz w:val="24"/>
          <w:szCs w:val="24"/>
        </w:rPr>
        <w:t>фигур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, а также с</w:t>
      </w:r>
      <w:r>
        <w:rPr>
          <w:rFonts w:hint="default" w:ascii="Times New Roman" w:hAnsi="Times New Roman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остав</w:t>
      </w:r>
      <w:r>
        <w:rPr>
          <w:rFonts w:hint="default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лять</w:t>
      </w:r>
      <w:r>
        <w:rPr>
          <w:rFonts w:hint="default" w:ascii="Times New Roman" w:hAnsi="Times New Roman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из нескольких фигур нов</w:t>
      </w:r>
      <w:r>
        <w:rPr>
          <w:rFonts w:hint="default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ые</w:t>
      </w:r>
      <w:r>
        <w:rPr>
          <w:rFonts w:hint="default" w:ascii="Times New Roman" w:hAnsi="Times New Roman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 xml:space="preserve"> геометрическ</w:t>
      </w:r>
      <w:r>
        <w:rPr>
          <w:rFonts w:hint="default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ru-RU"/>
        </w:rPr>
        <w:t>ие</w:t>
      </w:r>
      <w:r>
        <w:rPr>
          <w:rFonts w:hint="default" w:ascii="Times New Roman" w:hAnsi="Times New Roman" w:eastAsia="OpenSans" w:cs="Times New Roman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: из двух треугольников – ромб, большой треугольник, квадрат, из трёх – треугольник, трапецию, параллелограмм и т.д.</w:t>
      </w:r>
    </w:p>
    <w:p w14:paraId="54063FB6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Эта головоломка развивает умственные и творческие способности, пространственное воображение, комбинаторные способности, логическое мышление, сообразительность, смекалку, а также усидчивость и мелкую моторику, формирует внимательность, упорство в достижении цели, способствует творческому поиску чего – то нового, учит терпению и последовательности.</w:t>
      </w:r>
    </w:p>
    <w:p w14:paraId="050EF72E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Закончить о танграмах можно словами М. Гарднера: "Очарование танграма состоит в простоте материала и в кажущейся его непригодности для создания фигурок, обладающих эстетической привлекательностью»</w:t>
      </w:r>
    </w:p>
    <w:p w14:paraId="7B4DE9CD">
      <w:pPr>
        <w:spacing w:line="276" w:lineRule="auto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sectPr>
      <w:footerReference r:id="rId6" w:type="default"/>
      <w:headerReference r:id="rId5" w:type="even"/>
      <w:footerReference r:id="rId7" w:type="even"/>
      <w:pgSz w:w="11906" w:h="16838"/>
      <w:pgMar w:top="1134" w:right="850" w:bottom="1134" w:left="1701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Mangal">
    <w:altName w:val="Segoe Print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Open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A7515">
    <w:pPr>
      <w:pStyle w:val="14"/>
    </w:pPr>
  </w:p>
  <w:p w14:paraId="62F4B0A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A4EF93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721AF">
    <w:pPr>
      <w:pStyle w:val="1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10F304"/>
    <w:multiLevelType w:val="multilevel"/>
    <w:tmpl w:val="C010F30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1BAF4DFE"/>
    <w:multiLevelType w:val="multilevel"/>
    <w:tmpl w:val="1BAF4DF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DE"/>
    <w:rsid w:val="00020D2C"/>
    <w:rsid w:val="00024AB3"/>
    <w:rsid w:val="00056B95"/>
    <w:rsid w:val="000F0E70"/>
    <w:rsid w:val="00104454"/>
    <w:rsid w:val="0021727E"/>
    <w:rsid w:val="002E09AA"/>
    <w:rsid w:val="002F0EEB"/>
    <w:rsid w:val="002F6336"/>
    <w:rsid w:val="00300E02"/>
    <w:rsid w:val="00344ABC"/>
    <w:rsid w:val="003752D3"/>
    <w:rsid w:val="003935C1"/>
    <w:rsid w:val="003E620B"/>
    <w:rsid w:val="00444489"/>
    <w:rsid w:val="004A4990"/>
    <w:rsid w:val="005154FE"/>
    <w:rsid w:val="005274C3"/>
    <w:rsid w:val="00564D84"/>
    <w:rsid w:val="0058125E"/>
    <w:rsid w:val="005D36F8"/>
    <w:rsid w:val="00640912"/>
    <w:rsid w:val="00656D8B"/>
    <w:rsid w:val="006670D1"/>
    <w:rsid w:val="006A5A40"/>
    <w:rsid w:val="006E1ADE"/>
    <w:rsid w:val="006F571C"/>
    <w:rsid w:val="007B5674"/>
    <w:rsid w:val="007D665E"/>
    <w:rsid w:val="007E4701"/>
    <w:rsid w:val="00804469"/>
    <w:rsid w:val="008312E4"/>
    <w:rsid w:val="0086191A"/>
    <w:rsid w:val="008A079A"/>
    <w:rsid w:val="00911C92"/>
    <w:rsid w:val="009C064C"/>
    <w:rsid w:val="009D6A48"/>
    <w:rsid w:val="009E0781"/>
    <w:rsid w:val="00A63188"/>
    <w:rsid w:val="00AA7183"/>
    <w:rsid w:val="00AB2A1C"/>
    <w:rsid w:val="00AC4CDC"/>
    <w:rsid w:val="00AD7E8B"/>
    <w:rsid w:val="00AE1B8E"/>
    <w:rsid w:val="00AF01DF"/>
    <w:rsid w:val="00B95FF3"/>
    <w:rsid w:val="00C272BB"/>
    <w:rsid w:val="00C90E87"/>
    <w:rsid w:val="00CF7FC0"/>
    <w:rsid w:val="00D056FA"/>
    <w:rsid w:val="00D46E45"/>
    <w:rsid w:val="00DB21EF"/>
    <w:rsid w:val="00E9553F"/>
    <w:rsid w:val="00EC38ED"/>
    <w:rsid w:val="00EE4845"/>
    <w:rsid w:val="00F735D1"/>
    <w:rsid w:val="00FC20E4"/>
    <w:rsid w:val="00FE7F0D"/>
    <w:rsid w:val="21A1167A"/>
    <w:rsid w:val="2D3968C9"/>
    <w:rsid w:val="2D6E79E7"/>
    <w:rsid w:val="407E4F1B"/>
    <w:rsid w:val="579E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36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40"/>
      <w:jc w:val="center"/>
      <w:outlineLvl w:val="0"/>
    </w:pPr>
    <w:rPr>
      <w:rFonts w:eastAsiaTheme="majorEastAsia"/>
      <w:b/>
      <w:bCs/>
      <w:sz w:val="28"/>
      <w:szCs w:val="28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00" w:after="0"/>
      <w:outlineLvl w:val="1"/>
    </w:pPr>
    <w:rPr>
      <w:rFonts w:eastAsiaTheme="majorEastAsia"/>
      <w:b/>
      <w:bCs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basedOn w:val="4"/>
    <w:qFormat/>
    <w:uiPriority w:val="0"/>
    <w:rPr>
      <w:i/>
      <w:iCs/>
    </w:rPr>
  </w:style>
  <w:style w:type="character" w:styleId="7">
    <w:name w:val="Hyperlink"/>
    <w:basedOn w:val="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Strong"/>
    <w:basedOn w:val="4"/>
    <w:qFormat/>
    <w:uiPriority w:val="0"/>
    <w:rPr>
      <w:b/>
      <w:bCs/>
    </w:rPr>
  </w:style>
  <w:style w:type="paragraph" w:styleId="9">
    <w:name w:val="Balloon Text"/>
    <w:basedOn w:val="1"/>
    <w:link w:val="1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2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Body Text"/>
    <w:basedOn w:val="1"/>
    <w:uiPriority w:val="0"/>
    <w:pPr>
      <w:spacing w:before="0" w:after="120"/>
    </w:pPr>
  </w:style>
  <w:style w:type="paragraph" w:styleId="12">
    <w:name w:val="toc 1"/>
    <w:basedOn w:val="1"/>
    <w:next w:val="1"/>
    <w:autoRedefine/>
    <w:unhideWhenUsed/>
    <w:qFormat/>
    <w:uiPriority w:val="39"/>
    <w:rPr>
      <w:rFonts w:ascii="Calibri" w:hAnsi="Calibri" w:eastAsia="Calibri"/>
    </w:rPr>
  </w:style>
  <w:style w:type="paragraph" w:styleId="13">
    <w:name w:val="toc 2"/>
    <w:basedOn w:val="1"/>
    <w:next w:val="1"/>
    <w:autoRedefine/>
    <w:unhideWhenUsed/>
    <w:qFormat/>
    <w:uiPriority w:val="39"/>
    <w:pPr>
      <w:ind w:left="220"/>
    </w:pPr>
    <w:rPr>
      <w:rFonts w:ascii="Calibri" w:hAnsi="Calibri" w:eastAsia="Calibri"/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Normal (Web)"/>
    <w:basedOn w:val="1"/>
    <w:semiHidden/>
    <w:unhideWhenUsed/>
    <w:qFormat/>
    <w:uiPriority w:val="99"/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Заголовок 2 Знак"/>
    <w:basedOn w:val="4"/>
    <w:link w:val="3"/>
    <w:qFormat/>
    <w:uiPriority w:val="9"/>
    <w:rPr>
      <w:rFonts w:ascii="Times New Roman" w:hAnsi="Times New Roman" w:cs="Times New Roman" w:eastAsiaTheme="majorEastAsia"/>
      <w:b/>
      <w:bCs/>
      <w:sz w:val="24"/>
      <w:szCs w:val="26"/>
      <w:lang w:eastAsia="ru-RU"/>
    </w:rPr>
  </w:style>
  <w:style w:type="character" w:customStyle="1" w:styleId="18">
    <w:name w:val="apple-converted-space"/>
    <w:basedOn w:val="4"/>
    <w:qFormat/>
    <w:uiPriority w:val="0"/>
  </w:style>
  <w:style w:type="character" w:customStyle="1" w:styleId="19">
    <w:name w:val="Текст выноски Знак"/>
    <w:basedOn w:val="4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20">
    <w:name w:val="c6"/>
    <w:basedOn w:val="4"/>
    <w:qFormat/>
    <w:uiPriority w:val="0"/>
  </w:style>
  <w:style w:type="paragraph" w:customStyle="1" w:styleId="21">
    <w:name w:val="c5c39"/>
    <w:basedOn w:val="1"/>
    <w:qFormat/>
    <w:uiPriority w:val="0"/>
    <w:pPr>
      <w:spacing w:before="100" w:beforeAutospacing="1" w:after="100" w:afterAutospacing="1" w:line="240" w:lineRule="auto"/>
    </w:pPr>
  </w:style>
  <w:style w:type="character" w:customStyle="1" w:styleId="22">
    <w:name w:val="c6c22"/>
    <w:basedOn w:val="4"/>
    <w:uiPriority w:val="0"/>
  </w:style>
  <w:style w:type="paragraph" w:customStyle="1" w:styleId="23">
    <w:name w:val="c7c12"/>
    <w:basedOn w:val="1"/>
    <w:qFormat/>
    <w:uiPriority w:val="0"/>
    <w:pPr>
      <w:spacing w:before="100" w:beforeAutospacing="1" w:after="100" w:afterAutospacing="1" w:line="240" w:lineRule="auto"/>
    </w:pPr>
  </w:style>
  <w:style w:type="paragraph" w:customStyle="1" w:styleId="24">
    <w:name w:val="c7c39c14"/>
    <w:basedOn w:val="1"/>
    <w:qFormat/>
    <w:uiPriority w:val="0"/>
    <w:pPr>
      <w:spacing w:before="100" w:beforeAutospacing="1" w:after="100" w:afterAutospacing="1" w:line="240" w:lineRule="auto"/>
    </w:pPr>
  </w:style>
  <w:style w:type="character" w:customStyle="1" w:styleId="25">
    <w:name w:val="Верхний колонтитул Знак"/>
    <w:basedOn w:val="4"/>
    <w:link w:val="10"/>
    <w:qFormat/>
    <w:uiPriority w:val="99"/>
    <w:rPr>
      <w:rFonts w:ascii="Calibri" w:hAnsi="Calibri" w:eastAsia="Times New Roman" w:cs="Times New Roman"/>
      <w:lang w:eastAsia="ru-RU"/>
    </w:rPr>
  </w:style>
  <w:style w:type="character" w:customStyle="1" w:styleId="26">
    <w:name w:val="Нижний колонтитул Знак"/>
    <w:basedOn w:val="4"/>
    <w:link w:val="14"/>
    <w:qFormat/>
    <w:uiPriority w:val="99"/>
    <w:rPr>
      <w:rFonts w:ascii="Calibri" w:hAnsi="Calibri" w:eastAsia="Times New Roman" w:cs="Times New Roman"/>
      <w:lang w:eastAsia="ru-RU"/>
    </w:rPr>
  </w:style>
  <w:style w:type="paragraph" w:customStyle="1" w:styleId="27">
    <w:name w:val="c7"/>
    <w:basedOn w:val="1"/>
    <w:qFormat/>
    <w:uiPriority w:val="0"/>
    <w:pPr>
      <w:spacing w:before="100" w:beforeAutospacing="1" w:after="100" w:afterAutospacing="1" w:line="240" w:lineRule="auto"/>
    </w:pPr>
  </w:style>
  <w:style w:type="paragraph" w:customStyle="1" w:styleId="28">
    <w:name w:val="c2"/>
    <w:basedOn w:val="1"/>
    <w:qFormat/>
    <w:uiPriority w:val="0"/>
    <w:pPr>
      <w:spacing w:before="100" w:beforeAutospacing="1" w:after="100" w:afterAutospacing="1" w:line="240" w:lineRule="auto"/>
    </w:pPr>
  </w:style>
  <w:style w:type="character" w:customStyle="1" w:styleId="29">
    <w:name w:val="c23"/>
    <w:basedOn w:val="4"/>
    <w:qFormat/>
    <w:uiPriority w:val="0"/>
  </w:style>
  <w:style w:type="paragraph" w:customStyle="1" w:styleId="30">
    <w:name w:val="c5"/>
    <w:basedOn w:val="1"/>
    <w:qFormat/>
    <w:uiPriority w:val="0"/>
    <w:pPr>
      <w:spacing w:before="100" w:beforeAutospacing="1" w:after="100" w:afterAutospacing="1" w:line="240" w:lineRule="auto"/>
    </w:pPr>
  </w:style>
  <w:style w:type="character" w:customStyle="1" w:styleId="31">
    <w:name w:val="c41"/>
    <w:basedOn w:val="4"/>
    <w:qFormat/>
    <w:uiPriority w:val="0"/>
  </w:style>
  <w:style w:type="character" w:customStyle="1" w:styleId="32">
    <w:name w:val="c0"/>
    <w:basedOn w:val="4"/>
    <w:qFormat/>
    <w:uiPriority w:val="0"/>
  </w:style>
  <w:style w:type="paragraph" w:customStyle="1" w:styleId="33">
    <w:name w:val="c13"/>
    <w:basedOn w:val="1"/>
    <w:qFormat/>
    <w:uiPriority w:val="0"/>
    <w:pPr>
      <w:spacing w:before="100" w:beforeAutospacing="1" w:after="100" w:afterAutospacing="1" w:line="240" w:lineRule="auto"/>
    </w:pPr>
  </w:style>
  <w:style w:type="character" w:customStyle="1" w:styleId="34">
    <w:name w:val="Заголовок 1 Знак"/>
    <w:basedOn w:val="4"/>
    <w:link w:val="2"/>
    <w:qFormat/>
    <w:uiPriority w:val="9"/>
    <w:rPr>
      <w:rFonts w:ascii="Times New Roman" w:hAnsi="Times New Roman" w:cs="Times New Roman" w:eastAsiaTheme="majorEastAsia"/>
      <w:b/>
      <w:bCs/>
      <w:sz w:val="28"/>
      <w:szCs w:val="28"/>
      <w:lang w:eastAsia="ru-RU"/>
    </w:rPr>
  </w:style>
  <w:style w:type="paragraph" w:customStyle="1" w:styleId="35">
    <w:name w:val="TOC Heading"/>
    <w:basedOn w:val="2"/>
    <w:next w:val="1"/>
    <w:semiHidden/>
    <w:unhideWhenUsed/>
    <w:qFormat/>
    <w:uiPriority w:val="39"/>
    <w:pPr>
      <w:spacing w:before="240"/>
      <w:outlineLvl w:val="9"/>
    </w:pPr>
    <w:rPr>
      <w:rFonts w:ascii="Cambria" w:hAnsi="Cambria" w:eastAsia="Times New Roman"/>
      <w:color w:val="365F91"/>
      <w:sz w:val="24"/>
      <w:szCs w:val="24"/>
    </w:rPr>
  </w:style>
  <w:style w:type="paragraph" w:styleId="36">
    <w:name w:val="No Spacing"/>
    <w:qFormat/>
    <w:uiPriority w:val="1"/>
    <w:pPr>
      <w:widowControl w:val="0"/>
      <w:suppressAutoHyphens/>
    </w:pPr>
    <w:rPr>
      <w:rFonts w:ascii="Times New Roman" w:hAnsi="Times New Roman" w:eastAsia="SimSun" w:cs="Mangal"/>
      <w:kern w:val="1"/>
      <w:sz w:val="24"/>
      <w:szCs w:val="21"/>
      <w:lang w:val="ru-RU" w:eastAsia="hi-I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numbering" Target="numbering.xml"/><Relationship Id="rId12" Type="http://schemas.openxmlformats.org/officeDocument/2006/relationships/image" Target="media/image4.webp"/><Relationship Id="rId11" Type="http://schemas.openxmlformats.org/officeDocument/2006/relationships/image" Target="media/image3.webp"/><Relationship Id="rId10" Type="http://schemas.openxmlformats.org/officeDocument/2006/relationships/image" Target="media/image2.webp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0395A-5102-4020-9C6C-5B91251736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2832</Words>
  <Characters>16143</Characters>
  <Lines>134</Lines>
  <Paragraphs>37</Paragraphs>
  <TotalTime>30</TotalTime>
  <ScaleCrop>false</ScaleCrop>
  <LinksUpToDate>false</LinksUpToDate>
  <CharactersWithSpaces>18938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2015-02-26T01:09:00Z</dcterms:created>
  <dc:creator>Раис</dc:creator>
  <cp:lastModifiedBy>Admin</cp:lastModifiedBy>
  <dcterms:modified xsi:type="dcterms:W3CDTF">2026-02-28T06:24:12Z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D4DF3750E67F43AEBDE318CF11CFA5F9_12</vt:lpwstr>
  </property>
</Properties>
</file>