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44"/>
          <w:szCs w:val="44"/>
          <w:lang w:eastAsia="ru-RU"/>
        </w:rPr>
      </w:pPr>
      <w:r>
        <w:rPr>
          <w:rFonts w:ascii="Times New Roman" w:hAnsi="Times New Roman" w:eastAsia="Times New Roman" w:cs="Times New Roman"/>
          <w:sz w:val="44"/>
          <w:szCs w:val="44"/>
          <w:lang w:eastAsia="ru-RU"/>
        </w:rPr>
        <w:t xml:space="preserve">Конкурсное задание по номинации</w:t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44"/>
          <w:szCs w:val="44"/>
          <w:lang w:eastAsia="ru-RU"/>
        </w:rPr>
      </w:pPr>
      <w:r>
        <w:rPr>
          <w:rFonts w:ascii="Times New Roman" w:hAnsi="Times New Roman" w:eastAsia="Times New Roman" w:cs="Times New Roman"/>
          <w:sz w:val="44"/>
          <w:szCs w:val="44"/>
          <w:lang w:eastAsia="ru-RU"/>
        </w:rPr>
        <w:t xml:space="preserve">«Мастер отделочных работ»</w:t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44"/>
          <w:szCs w:val="44"/>
          <w:lang w:eastAsia="ru-RU"/>
        </w:rPr>
      </w:pPr>
      <w:r>
        <w:rPr>
          <w:rFonts w:ascii="Times New Roman" w:hAnsi="Times New Roman" w:eastAsia="Times New Roman" w:cs="Times New Roman"/>
          <w:sz w:val="44"/>
          <w:szCs w:val="44"/>
          <w:lang w:eastAsia="ru-RU"/>
        </w:rPr>
        <w:t xml:space="preserve">(федеральный этап)</w:t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  <w:r>
        <w:rPr>
          <w:rFonts w:ascii="Times New Roman" w:hAnsi="Times New Roman" w:eastAsia="Times New Roman" w:cs="Times New Roman"/>
          <w:sz w:val="44"/>
          <w:szCs w:val="44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 О номинации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1.1. Общие сведения о номинации, требования к квалификации участников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1.2.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Личный инструмент, вещи, разрешенные к проносу на площадку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1.3. Личный инструмент, вещи, запрещенные к проносу на площадку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2. Структура и подробное описание конкурсных заданий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2.1. Перечень и описание теоретических заданий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2.2. Перечень и описание практических заданий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3. Требования охраны труда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 Перечень оборудования и материалов для проведения практического этапа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779"/>
        <w:numPr>
          <w:ilvl w:val="0"/>
          <w:numId w:val="16"/>
        </w:numPr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номинации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</w:pPr>
      <w:r/>
      <w:r/>
    </w:p>
    <w:p>
      <w:pPr>
        <w:pStyle w:val="779"/>
        <w:numPr>
          <w:ilvl w:val="1"/>
          <w:numId w:val="1"/>
        </w:numPr>
        <w:ind w:left="0" w:firstLine="0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Общие сведения о номинации, требования к квалификации участников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условия и порядок проведения в 2026 году в Чувашской Республике федерального этапа Всероссийского конкурса профессионального мастерства «Лучший по профессии» по номинации «Мастер отделочных работ» (далее также – Конкурс).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Федеральный этап Конкурса проводится в соответствии с постановлением Правительства Российской Федерации от 7 декабря 2011 г. № 1011 «О Всероссийском конкурсе профессионального мастерства «Лучший по профессии»; </w:t>
      </w:r>
      <w:r>
        <w:rPr>
          <w:rFonts w:ascii="Times New Roman" w:hAnsi="Times New Roman"/>
          <w:sz w:val="26"/>
          <w:szCs w:val="26"/>
        </w:rPr>
        <w:t xml:space="preserve">Условиями и порядком проведения Всероссийского конкурса профессионального мастерства «Лучший по профессии», а также Методическими рекомендациями по организации </w:t>
      </w:r>
      <w:r>
        <w:rPr>
          <w:rFonts w:ascii="Times New Roman" w:hAnsi="Times New Roman"/>
          <w:sz w:val="26"/>
          <w:szCs w:val="26"/>
        </w:rPr>
        <w:t xml:space="preserve">и проведению Всероссийского конкурса профессионального мастерства «Лучший по профессии», утвержденными организационным комитетом по проведению Всероссийского конкурса профессионального мастерства «Лучший по профессии» (протокол от 28 января 2026 г. № 1пр).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Федеральный этап Конкурса представляет собой очные соревнования, предусматривающие выполнение конкурсных заданий, включая проверку теоретических знаний участников федерального этапа Конкурса и выполнение ими практических заданий.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Проведение федерального этапа Конкурса предусматривает демонстрацию уровня выполнения работ, предусмотренных следующими профессиональными стандартами: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профессиональный стандарт</w:t>
      </w:r>
      <w:r>
        <w:rPr>
          <w:rFonts w:ascii="Times New Roman" w:hAnsi="Times New Roman" w:cs="Times New Roman"/>
          <w:sz w:val="26"/>
          <w:szCs w:val="26"/>
        </w:rPr>
        <w:t xml:space="preserve"> 16.046</w:t>
      </w:r>
      <w:r>
        <w:rPr>
          <w:rFonts w:ascii="Times New Roman" w:hAnsi="Times New Roman" w:cs="Times New Roman"/>
          <w:sz w:val="26"/>
          <w:szCs w:val="26"/>
        </w:rPr>
        <w:t xml:space="preserve"> «Маляр строительный» (утвержден приказом Министерства труда и социальной защиты Российской Федерации от 15 июля 2024 г. № 355н);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профессиональный стандарт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16.104</w:t>
      </w:r>
      <w:r>
        <w:rPr>
          <w:rFonts w:ascii="Times New Roman" w:hAnsi="Times New Roman" w:cs="Times New Roman"/>
          <w:sz w:val="26"/>
          <w:szCs w:val="26"/>
        </w:rPr>
        <w:t xml:space="preserve"> «Плиточник» (утвержден приказом Министерства труда и социальной защиты Российской Федерации от 1 августа 2023 г. № 624н);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профессиональный стандарт</w:t>
      </w:r>
      <w:r>
        <w:rPr>
          <w:rFonts w:ascii="Times New Roman" w:hAnsi="Times New Roman" w:cs="Times New Roman"/>
          <w:sz w:val="26"/>
          <w:szCs w:val="26"/>
        </w:rPr>
        <w:t xml:space="preserve"> 16.054</w:t>
      </w:r>
      <w:r>
        <w:rPr>
          <w:rFonts w:ascii="Times New Roman" w:hAnsi="Times New Roman" w:cs="Times New Roman"/>
          <w:sz w:val="26"/>
          <w:szCs w:val="26"/>
        </w:rPr>
        <w:t xml:space="preserve"> «Монтажник каркасно-обшивных конструкций» (утвержден приказом Министерства труда и социальной защиты Российской Федерации от 18 июля 2024 г. № 365н).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этим к участнику федерального этапа Конкурса кроме наличия стажа работы по одной из профессий не менее 3 лет, предъявляются дополнительные требования к уровню образования: профессиональное обучение – програм</w:t>
      </w:r>
      <w:r>
        <w:rPr>
          <w:rFonts w:ascii="Times New Roman" w:hAnsi="Times New Roman" w:cs="Times New Roman"/>
          <w:sz w:val="26"/>
          <w:szCs w:val="26"/>
        </w:rPr>
        <w:t xml:space="preserve">мы профессиональной подготовки по профессиям рабочих, служащих, программы переподготовки рабочих, служащих, программы повышения квалификации рабочих, служащих; среднее профессиональное образование – программы подготовки квалифицированных рабочих, служащих.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eastAsia="Times New Roman" w:cs="Times New Roman"/>
          <w:iCs/>
          <w:sz w:val="26"/>
          <w:szCs w:val="26"/>
        </w:rPr>
        <w:t xml:space="preserve">Перечень видов профессиональной деятельности, умений и знаний и </w:t>
      </w:r>
      <w:r>
        <w:rPr>
          <w:rFonts w:ascii="Times New Roman" w:hAnsi="Times New Roman" w:eastAsia="Times New Roman" w:cs="Times New Roman"/>
          <w:iCs/>
          <w:sz w:val="26"/>
          <w:szCs w:val="26"/>
        </w:rPr>
        <w:t xml:space="preserve">профессиональных трудовых функций</w:t>
      </w:r>
      <w:r>
        <w:rPr>
          <w:rFonts w:ascii="Times New Roman" w:hAnsi="Times New Roman" w:eastAsia="Times New Roman" w:cs="Times New Roman"/>
          <w:iCs/>
          <w:sz w:val="26"/>
          <w:szCs w:val="26"/>
        </w:rPr>
        <w:t xml:space="preserve"> предъявляемых к участнику Конкурса. </w:t>
      </w:r>
      <w:r>
        <w:rPr>
          <w:rFonts w:ascii="Times New Roman" w:hAnsi="Times New Roman" w:cs="Times New Roman"/>
          <w:iCs/>
          <w:sz w:val="26"/>
          <w:szCs w:val="26"/>
        </w:rPr>
      </w:r>
      <w:r>
        <w:rPr>
          <w:rFonts w:ascii="Times New Roman" w:hAnsi="Times New Roman" w:cs="Times New Roman"/>
          <w:i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Организация работы, охрана труда.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знать: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технологических регламентов к выполнению монтажа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каркасно-обшивных конструкций (далее - КОК);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технической документации в строительстве;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к организации рабочего места при проведении монтажа КОК;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порядок подготовки инструментов, оборудования, оснастки и расходных материалов для проведения монтажа КОК;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правила транспортировки и складирования материалов и комплектующих элементов КОК в пределах рабочей зоны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перечень и правила эксплуатации оборудования, инструментов, такелажной оснастки, применяемых при монтаже КОК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виды и правила применения СИЗ, используемых для безопасного проведения монтажа КОК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технологических регламентов к облицовке внутренних и наружных поверхностей зданий и сооружений плиткой;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технической документации в строительстве;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правила и способы выполнения разметки и провешивания поверхности стен под облицовку плиткой;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правила и способы установки маяков и выравнивающих скоб;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правила и способы увлажнения плитки и нанесения клеящего раствора для внутренних и наружных работ;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технология устройства выравнивающего слоя;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требования к установке плиток на облицовываемую поверхность;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правила и способы резки плиток с подточкой кромок;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6"/>
          <w:szCs w:val="26"/>
        </w:rPr>
        <w:t xml:space="preserve">технология облицовки керамическими, стеклянными, асбестоцементными и другими плитками на растворе сплошных прямолинейных поверхностей стен при толщине шва свыше 2 мм и полов по готовым маякам.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уметь:</w:t>
      </w:r>
      <w:r>
        <w:rPr>
          <w:rFonts w:ascii="Times New Roman" w:hAnsi="Times New Roman" w:cs="Times New Roman"/>
          <w:sz w:val="26"/>
          <w:szCs w:val="26"/>
          <w:u w:val="single"/>
        </w:rPr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оценивать безопасность организации рабочего места в соответствии с требованиями охраны труда и промышленной безопасности;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оценивать соответствие рабочего места правилам и требованиям производственной санитарии;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выбирать необходимые инструменты, оборудование, оснастку и материалы в соответствии со сменным заданием;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управлять грузоподъёмным механизмом в процессе подачи материалов и комплектующих элементов КОК в зону производства монтажных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оценивать исправность электропроводки для подключения электроинструментов и освещения рабочего места в условиях недостаточной освещённости;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выбирать способы и места складирования материалов и комплектующих элементов КОК в зоне производства монтажных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требования производственной санитарии при устройстве КОК сложной геометрической формы;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требования охраны труда при нахождении на строительной площадке, пожарной, промышленной безопасности и электробезопасности при устройстве КОК сложной геометрической формы;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СИЗ при устройстве КОК сложной геометрической формы.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читать строительные и проектные чертежи;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разметки и провешивания поверхности стен под облицовку плиткой;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установки маяков и выравнивающих скоб;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способы увлажнения плитки и нанесения клеящего раствора для внутренних и внешних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устройства выравнивающего слоя;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требования к установке плиток на облицовываемую поверхность в соответствии с технологической картой;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способы резки плиток с подточкой кромок;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облицовки керамическими, стеклянными, асбестоцементными и другими плитками на растворе сплошных прямолинейных поверхностей стен при толщине шва свыше 2 мм и полов по готовым маякам;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облицовки полов плитами из литого камня;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облицовки внешних поверхностей зданий и сооружений;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и инструменты для облицовки выступов, ниш, углов между стеной и полом;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оценивать вертикальность и горизонтальность облицованной плиткой поверхности внутренних частей зданий;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способы резки под нужный размер и сверления плитки;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способы нанесения клеящего раствора и установки плитки на вертикальные и горизонтальные поверхности;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пользоваться средствами малой механизации, инструментом и приспособлениями, предназначенными для выполнения плиточных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технологию заполнения швов между плитками, уплотнения и сглаживания швов и затирки облицованной поверхности;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требования производственной санитарии при производстве облицовочных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требования охраны труда при нахождении на строительной площадке, пожарной, промышленной безопасности и электробезопасности при производстве облицовочных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средства индивидуальной защиты при производстве облицовочных работ;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применять принципы бережливого производства при выполнении облицовочных работ.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Монтаж каркасно-обшивных конструкций и тепло- звукоизоляционного материала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знать: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способы и приемы разметки мест установки каркасно-обшивных конструкций;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раскроя металлических профилей и деревянных брусков каркасов;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устройства металлических и деревянных каркасов, в том числе с проемами, различных КОК;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условия монтажа листовых и плитных материалов, тепло- и звукоизоляционных материалов;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раскроя строительных листовых и плитных материалов, тепло- и звукоизоляционных материалов;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крепления строительных листовых и плитных материалов на металлические и деревянные каркасы;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методы монтажа металлических и деревянных каркасов;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методы монтажа листовых и плитных материалов каркасно-обшивных конструкций;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бескаркасные способы облицовок стен;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методы монтажа каркасов для каркасно-обшивных конструкций сложной геометрической формы;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материалы и способы использования для теплоизоляции зданий.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уметь: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размечать поверхности для монтажа каркасно-обшивных конструкций;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раскрой с помощью специальных приспособлений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разметку и раскрой строительных листовых и плитных материалов, звукоизоляционных материалов;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резать, гнуть, удлинять различные виды профилей по размеру;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направлять и крепить металлические профили;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выбирать профили для изготовления элементов каркасов сложной геометрической формы;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приклеивать уплотнительную ленту к металлическим профилям;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использовать инструменты для выявления отклонений поверхностей помещения от плоскости;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приготавливать строительные растворы необходимой консистенции;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устанавливать и закреплять различные виды теплоизоляционных материалов;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приклеивать листовые и плитные материалы к вертикальным поверхностям помещения и выравнивать их в одной плоскости;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изгибать листовые и плитные строительные материалы на гипсовой основе сухим, мокрым способом и способом фрезерования;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подготавливать материалы для изготовления шаблонов и криволинейных и ломаных элементов каркасно-обшивных конструкций;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изготавливать шаблоны под криволинейные элементы обшивки каркасов;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монтаж металлических и деревянных каркасов конструкций стен, перегородок, облицовок, потолков;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размечать поверхности для монтажа каркасно-обшивных конструкций;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монтировать каркасы с проемами для окон и дверей - перпендикулярно, вертикально и горизонтально;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усиливать стойки дверного проема в зависимости от веса дверного полотна;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крепить строительные листовые и плитные материалы в проектное положение к каркасу, стыковать листы, устраивать внутренние и внешние углы и места сопряжения с дверными коробками, с полом и потолком;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изготавливать элементы каркасов сложной геометрической формы для арок, карнизов, сводов, многоуровневых потолков, подвесных потолков сводчато-купольного типа;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монтировать криволинейные, ломаные, многоуровневые каркасы в соответствии с проектной документацией;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крепить элементы обшивки к каркасам сложной геометрической формы; 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ремонт обшивок из строительных листовых и плитных материалов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Отделка гипсокартонных листов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знать: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принципы шпаклевочных работ при отделке гипсовых строительных плит: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категории качества поверхностей в зависимости от типа финишных покрытий;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выбора лент для армирования стыков между листовыми и плитными материалами;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технология приготовления шпаклевочных составов из сухих строительных смесей;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технология заделки стыков между листовыми и плитными материалами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уметь: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нарезать и устанавливать углозащитный профиль;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наносить шпаклевочные составы при заделке стыков между листовыми и плитными материалами с различными типами кромок, углублений от шурупов;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устанавливать армирующие бумажные ленты с синтетическими волокнами при заделке стыков между листовыми и плитными материалами;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шлифование стыков вручную;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отделку тонким слоем гипсовой штукатурки;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финишное покрытие поверхности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Облицовка наружных поверхностей зданий керамической плиткой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знать: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виды основных материалов, применяемых при облицовке наружных частей зданий и сооружений;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состав набора инструментов, вспомогательных материалов и оборудования, необходимых при производстве плиточных работ, правила их использования;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 приготовления клеящих растворов для производства наружных плиточных работ на основе сухих смесей с использованием средств малой механизации, устойчивых к температурным и влажностным сезонным колебаниям;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нормы расхода материалов при производстве наружных плиточных работ в соответствии с технологической картой.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Специалист должен уметь: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производить очистку и подготовку основания, подлежащего облицовке;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производить сортировку плиток и обработку их кромок;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производить разметку и провешивание поверхности, подлежащей облицовке, устанавливать плитки-маяки и ориентиры для выкладки плитки по горизонтали и вертикали;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работать со средствами малой механизации, инструментом и приспособлениями, предназначенными для выполнения наружных облицовочных работ;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производить резку под нужный размер и сверление плитки;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наносить клеящий раствор для наружных работ и устанавливать плитку на поверхности наружных частей зданий, подлежащих облицовке, в соответствии с технологической картой;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осуществлять проверку поверхностей наружных частей зданий, облицованных плиткой, по горизонтали и по вертикали;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заполнять швы между плитками специальными составами и производить уплотнение и сглаживание швов, их затирку;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eastAsia="Times New Roman" w:cs="Times New Roman"/>
          <w:iCs/>
          <w:sz w:val="26"/>
          <w:szCs w:val="26"/>
        </w:rPr>
        <w:t xml:space="preserve">соблюдать требования охраны труда при нахождении на строительной площадке; </w:t>
      </w:r>
      <w:r>
        <w:rPr>
          <w:rFonts w:ascii="Times New Roman" w:hAnsi="Times New Roman" w:cs="Times New Roman"/>
          <w:iCs/>
          <w:sz w:val="26"/>
          <w:szCs w:val="26"/>
        </w:rPr>
      </w:r>
      <w:r>
        <w:rPr>
          <w:rFonts w:ascii="Times New Roman" w:hAnsi="Times New Roman" w:cs="Times New Roman"/>
          <w:i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iCs/>
          <w:sz w:val="26"/>
          <w:szCs w:val="26"/>
        </w:rPr>
        <w:t xml:space="preserve">соблюдать требования безопасности, в том числе пожарной безопасности, </w:t>
      </w:r>
      <w:r>
        <w:rPr>
          <w:rFonts w:ascii="Times New Roman" w:hAnsi="Times New Roman" w:eastAsia="Times New Roman" w:cs="Times New Roman"/>
          <w:iCs/>
          <w:sz w:val="26"/>
          <w:szCs w:val="26"/>
          <w:highlight w:val="white"/>
        </w:rPr>
        <w:t xml:space="preserve">электробезопасности при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облицовочных, мозаичных и декоративных работах.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Коммуникация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u w:val="single"/>
        </w:rPr>
        <w:t xml:space="preserve">Специалист должен знать: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рофессиональную терминологию; 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э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ффективно взаимодействовать с клиентами;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э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ффективно работать в команде; 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э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ффективно работать с другими специалистами на строительной площадке.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u w:val="single"/>
        </w:rPr>
        <w:t xml:space="preserve">Специалист должен уметь: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редоставить информацию и рекомендации другим специалистам, например, архитекторам и инженерам-сметчикам;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ыполнять требования заказчика;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bCs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точнять и формулировать свои мысли для понимания цели и сроков заказанной работы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Организация</w:t>
      </w:r>
      <w:r>
        <w:rPr>
          <w:rFonts w:ascii="Times New Roman" w:hAnsi="Times New Roman" w:eastAsia="Times New Roman" w:cs="Times New Roman"/>
          <w:b/>
          <w:spacing w:val="-5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труда</w:t>
      </w:r>
      <w:r>
        <w:rPr>
          <w:rFonts w:ascii="Times New Roman" w:hAnsi="Times New Roman" w:eastAsia="Times New Roman" w:cs="Times New Roman"/>
          <w:b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spacing w:val="-4"/>
          <w:sz w:val="26"/>
          <w:szCs w:val="26"/>
          <w:highlight w:val="white"/>
        </w:rPr>
        <w:t xml:space="preserve"> самоорганизация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u w:val="single"/>
        </w:rPr>
        <w:t xml:space="preserve">Специалист должен знать: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законы,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обязательства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 документы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здоровье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 безопасности;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правила поведения при несчастных случаях и   возгораниях,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при необходимости оказания первой помощи и порядок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извещения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подобных случаях;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принципы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безопасной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работы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электричеством;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ситуации, в которых необходимо использовать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личные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защитные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приспособления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цели,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способы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использования,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хранение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 уход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всеми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инструментами и оборудованием, с учетом возможных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последствий с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точки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зрения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безопасности;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цели, способы использования, хранение и уход за материалами,</w:t>
      </w:r>
      <w:r>
        <w:rPr>
          <w:rFonts w:ascii="Times New Roman" w:hAnsi="Times New Roman" w:eastAsia="Times New Roman" w:cs="Times New Roman"/>
          <w:spacing w:val="-58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включая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влияние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температуры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солнечного света;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важность следования инструкциям производителя, например,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при подготовке поверхности, обработке внутренних углов,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затемнении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нанесении;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меры по обеспечению экологической устойчивости в рамках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использования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«зеленых»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материалов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 переработки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мусора;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способы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минимизации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отходов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убытков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время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работы;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принципы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организации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рабочего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времени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 измерения;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значимость планирования, аккуратности, проверки и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внимания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деталям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работе;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ценность поддержания уровня собственного профессионального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развития.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u w:val="single"/>
        </w:rPr>
        <w:t xml:space="preserve">Специалист должен  уметь: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следовать стандартам, правилам и нормам производителей по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охране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здоровья 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обеспечения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безопасности;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определять угрозы безопасности и здоровья на строительных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площадках 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оценивать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риски;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устанавливать предупреждающие знаки и таблички для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общественной безопасности;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определять и использовать подходящее личное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защитное оборудование, включая защитную обувь, защиту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для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ушей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глаз;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предпринимать необходимые меры безопасности вовремя</w:t>
      </w:r>
      <w:r>
        <w:rPr>
          <w:rFonts w:ascii="Times New Roman" w:hAnsi="Times New Roman" w:eastAsia="Times New Roman" w:cs="Times New Roman"/>
          <w:spacing w:val="-58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работы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на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высоте, например, на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лесах или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лестницах;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безопасно выбирать, использовать, чистить, поддерживать в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рабочем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порядке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хранить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все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инструменты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оборудование;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безопасно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выбирать,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использовать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хранить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все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материалы;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максимально эффективно планировать рабочую зону и</w:t>
      </w:r>
      <w:r>
        <w:rPr>
          <w:rFonts w:ascii="Times New Roman" w:hAnsi="Times New Roman" w:eastAsia="Times New Roman" w:cs="Times New Roman"/>
          <w:spacing w:val="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поддерживать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чистоту</w:t>
      </w:r>
      <w:r>
        <w:rPr>
          <w:rFonts w:ascii="Times New Roman" w:hAnsi="Times New Roman" w:eastAsia="Times New Roman" w:cs="Times New Roman"/>
          <w:spacing w:val="-5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этой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зоны,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эргономика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рабочего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места;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всегда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тщательно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выполнять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измерения;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работать эффективно и систематически следить за прогрессом и</w:t>
      </w:r>
      <w:r>
        <w:rPr>
          <w:rFonts w:ascii="Times New Roman" w:hAnsi="Times New Roman" w:eastAsia="Times New Roman" w:cs="Times New Roman"/>
          <w:spacing w:val="-58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итоговым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результатом;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постоянно поддерживать высокое качество стандартов и рабочих</w:t>
      </w:r>
      <w:r>
        <w:rPr>
          <w:rFonts w:ascii="Times New Roman" w:hAnsi="Times New Roman" w:eastAsia="Times New Roman" w:cs="Times New Roman"/>
          <w:spacing w:val="-57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процессов.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779"/>
        <w:numPr>
          <w:ilvl w:val="1"/>
          <w:numId w:val="1"/>
        </w:numPr>
        <w:ind w:left="0" w:firstLine="0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Личный инструмент, вещи, разрешенные к проносу на площадку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Организатором Конкурса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предоставляется участнику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весь необходимый для выполнения конкурсных заданий набор инструментов. В то же время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участник при выполнении конкурсных заданий может использовать привезенный с собой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набор измерительных, ручных и электрических инструментов. В этом случае бренд и технические характеристики выбираются участником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самостоятельно, исх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одя из предложенного перечня инструментов.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За исправность личного инструмента и точность привезенных контрольно-измерительных инструментов отвечает участник Конкурса.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Все инструментальные ящики должны находиться непосредственно в рабочей зоне участника.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/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  <w:outlineLvl w:val="2"/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Основные требования к инструментам и приспособлениям:</w:t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Исправность. Все инструменты должны быть полностью исправны и готовы к использованию.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Рукоятки. Рукоятки всех инструментов обязаны быть тщательно обработанными и надежно зафиксированными.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Поверхность. На поверхностях инструментов недопустимы любые посторонние метки, рисунки или надписи, которые могли бы упростить выполнение конкурсного задания.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Конструкция. Запрещается вносить какие-либо изменения в конструкцию электроинструментов или механику ручных инструментов.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Кроме того, участнику разрешается изготавливать шаблоны и трафареты прямо во время выполнения конкурсного задания.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Контрольные замеры выполняются инструментом участника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Участнику федерального этапа Конкурса и сопровождающему лицу при себе необходимо иметь паспорт, который предъявляется лично участником федерального этапа Конкурса и сопровождающим лицом представителю федеральной экспертной комиссии при регистрации.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779"/>
        <w:numPr>
          <w:ilvl w:val="1"/>
          <w:numId w:val="1"/>
        </w:numPr>
        <w:ind w:left="0" w:firstLine="0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Личный инструмент, вещи, запрещенные к проносу на площадку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Во время проведения теоретической и практической части категорически запрещается распитие спиртных напитков, использование курительных принадлежностей (сигареты, сигары, трубки, электронные сигареты и т.д.).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При выполнении теоретических заданий запрещается использование сети интернет (мобильные телефоны, мини ПК, планшеты и т.д.).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tbl>
      <w:tblPr>
        <w:tblW w:w="4924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" w:type="dxa"/>
          <w:right w:w="301" w:type="dxa"/>
        </w:tblCellMar>
        <w:tblLook w:val="04A0" w:firstRow="1" w:lastRow="0" w:firstColumn="1" w:lastColumn="0" w:noHBand="0" w:noVBand="1"/>
      </w:tblPr>
      <w:tblGrid>
        <w:gridCol w:w="2424"/>
        <w:gridCol w:w="7094"/>
      </w:tblGrid>
      <w:tr>
        <w:tblPrEx/>
        <w:trPr>
          <w:trHeight w:val="676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Оружие и опасные предметы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Любое оружие, включая холодное и огнестрельное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76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Использование технологий  (USB, карты памяти)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Участникам запрещено приносить персональные компьютеры, планшеты, мобильные телефоны в рабочую зону (необходимо передать члену федеральной экспертной комиссии в день соревнований)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58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Использование технологий (персональные фото и видео устройства)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Участникам разрешено использовать персональные фото и видео устройства в рабочей зоне только по завершении Конкурса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84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Зарисовывание, запись информации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Участникам запрещено выносить из рабочей зоны рабочие чертежи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55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Экономичность/ Экологичность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Необходимо использовать только материалы, представленные организаторами Конкурса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Сверх нормы материал не выдается.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91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Личный инструмент участника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(приложение)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Личный инструмент участника, в т.ч. все инструменты, материалы и оборудование, необходимое для выполнения Конкурсного задания, заносятся в рабочую зону только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подготовительный день.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Запрещается доносить в рабочую зону инструменты, материалы и приспособления для выполнения определенного Модуля.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Вывоз личного инструмента участника из рабочей зоны разрешается после окончания Конкурса.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Контрольные замеры выполняются инструментом участника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91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Здоровье, Безопасность и Окружающая среда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Как только участник Конкурса начинает работать, требуется использовать средства индивидуальной защиты (далее - СИЗ).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Если участник начинает работать без СИЗ, то его попросят приостановить работу и надеть СИЗ. При этом это будет засчитано как нарушение.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Если участник продолжит работать без СИЗ, то это будет считаться как нарушение правил Конкурса, Правил охраны труда -  сразу же последует отстранение участника от Конкурса.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57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Оценивание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Во время проведения сор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евновательной части федерального этапа Конкурса на площадке работает федеральная экспертная комиссия, которая следит за соблюдением участниками требований охраны труда , соблюдением технологических процессов, регламента Конкурса и т.д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Во время выполнения конкурсного задания участникам запрещено общаться с членами федеральной экспертной комиссии.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При ознакомлении с критериями оценки участники Конкурса сдают/выключают телефоны, планшеты.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Выносить критерии оценки с площадки участникам Конкурса запрещено.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Контрольные замеры выполняются инструментом участника.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u w:val="single"/>
              </w:rPr>
            </w:r>
          </w:p>
        </w:tc>
      </w:tr>
      <w:tr>
        <w:tblPrEx/>
        <w:trPr>
          <w:trHeight w:val="157"/>
        </w:trPr>
        <w:tc>
          <w:tcPr>
            <w:tcW w:w="2424" w:type="dxa"/>
            <w:textDirection w:val="lrTb"/>
            <w:noWrap/>
          </w:tcPr>
          <w:p>
            <w:pPr>
              <w:pStyle w:val="975"/>
              <w:ind w:left="142" w:right="-11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Список материалов, оборудования и инструментов, запрещенных на соревнованиях по различным причинам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7094" w:type="dxa"/>
            <w:textDirection w:val="lrTb"/>
            <w:noWrap/>
          </w:tcPr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электрический инструмент: пилы, имеющие вращающийся диск, углошлифовальные машины (болгарки);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угломеры;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подпорки, крепления, откосины заранее изготовленные для фиксации стен;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pStyle w:val="975"/>
              <w:ind w:left="142" w:right="-6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аэрозольные баллончики (краска на масляной основе, блестки и прочее).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</w:tbl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Любые материалы и оборудование, имеющиеся у участников, необходимо предъявить членам ф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едеральной экспертной комиссии для проверки. Эксперты имеют право запретить использование любых материалов, инструментов и оборудования, которые будут сочтены не относящимися к разрешенным или которые могут дать участнику явное несправедливое преимущество.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Структура и подробное описание конкурсных заданий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Конкурсное задание состоит из двух частей: теоретической и практической. 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Варианты заданий теоретической и практической частей Конкурса доводятся членами федеральной экспертной комиссии до участников непосредственно перед началом Конкурса.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 целью соблюдения правил охраны труда перед началом выполнения заданий проводится инструктаж по охране труда с оформлением протокола проведения инструктажа.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 целью обеспечения нез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ависимой оценки результатов Конкурса, объективности его проведения, председателем или членами федеральной экспертной комиссии перед началом выполнения заданий проводится жеребьёвка участников, по результатам которой каждому участнику Конкурса присваивается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личный номер (код), который фиксируется в регистрационной ведомости. На протяжении Конкурса все работы, выполняемые участником, регистрируются под данным номером. Ведомость с личным номером (кодом) хранится у председателя федеральной экспертной комиссии. 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Результаты выполнения участниками теоретического и практического заданий рассматриваются и оцениваются членами федеральной экспертной комиссии в соответствии с утвержденными критериями оценки. 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Оценка результатов участников конкурса осуществляется в баллах в соответствии с утвержденной балльной системой критериев оценки конкурсных работ.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Члены федеральной эксперт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ной комиссии заполняют оценочные листы участника конкурса, а также ведомости результатов выполнения конкурсных заданий. По результатам выполнения практических заданий и проверки теоретических знаний заполняется сводная ведомость (оценочная) с результатами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участников Конкурса и формируется предварительный переч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ень претендентов на призовые места. Претенденты на призовые места определяются по общей сумме набранных баллов за выполнение теоретического и практического заданий Конкурса. Занявшим первое место считается участник, получивший наибольшее количество баллов.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 случае если два и более претендента на пр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изовые места в номинации набрали одинаковое количество баллов, то победители и/или призеры конкурса в данной номинации определяются по результатам выполнения практического конкурсного задания с учетом затраченного на выполнение конкурсного задания времени.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Решение федеральной экспертной комиссии об итогах выполнения конкурсных заданий оформляется протоколом, который подписывают все члены федеральной экспертной комиссии. В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случае несогласия участников Конкурса с решениями федеральной экспертной комиссии сопровождающее лицо (руководитель делегации) в письменной форме в течение часа подает апелляцию в федеральную апелляционную комиссию. Принятое решение оформляется протоколом.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Максимальное время на выполнение заданий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8 часов, при этом, в случае большого количества участников, выполнение заданий может распределяться на несколько дней. Время для выполнения практической части задания участники распределяют самостоятельно, исходя из ориентировочного рекомендуемого времени.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 день старта федерального этапа конкурса в задание могут быть внесены изменения (но не более 30%) для включения элемента неожиданности.</w:t>
      </w: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eastAsia="Times New Roman" w:cs="Times New Roman"/>
          <w:sz w:val="25"/>
          <w:szCs w:val="25"/>
        </w:rPr>
      </w:r>
    </w:p>
    <w:p>
      <w:pPr>
        <w:pStyle w:val="779"/>
        <w:jc w:val="center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Структура конкурсного задания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94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272"/>
        <w:gridCol w:w="1421"/>
        <w:gridCol w:w="3076"/>
        <w:gridCol w:w="1276"/>
        <w:gridCol w:w="1383"/>
      </w:tblGrid>
      <w:tr>
        <w:tblPrEx/>
        <w:trPr/>
        <w:tc>
          <w:tcPr>
            <w:tcW w:w="2272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модуля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Ориентировочное/рекомендуемое время проведения модуля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Полученный результат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Максимальное  количество баллов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 w:themeFill="background1"/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Закрытая/ публичная часть задания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5"/>
            <w:tcW w:w="9428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1.Теоретическая часть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/>
        <w:tc>
          <w:tcPr>
            <w:tcW w:w="2272" w:type="dxa"/>
            <w:textDirection w:val="lrTb"/>
            <w:noWrap/>
          </w:tcPr>
          <w:p>
            <w:pPr>
              <w:pStyle w:val="975"/>
              <w:ind w:left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Тестирование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 час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pStyle w:val="976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проверка  теоретических знаний, ответы на вопросы теста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закрытая часть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/>
        <w:tc>
          <w:tcPr>
            <w:tcW w:w="2272" w:type="dxa"/>
            <w:textDirection w:val="lrTb"/>
            <w:noWrap/>
          </w:tcPr>
          <w:p>
            <w:pPr>
              <w:pStyle w:val="975"/>
              <w:ind w:left="0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1.2. Теория-кейс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 час 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pStyle w:val="976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производственной задачи, защита кейса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закрытая часть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>
          <w:trHeight w:val="183"/>
        </w:trPr>
        <w:tc>
          <w:tcPr>
            <w:gridSpan w:val="5"/>
            <w:tcW w:w="9428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2. Практическая часть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>
          <w:trHeight w:val="1559"/>
        </w:trPr>
        <w:tc>
          <w:tcPr>
            <w:tcW w:w="2272" w:type="dxa"/>
            <w:vMerge w:val="restart"/>
            <w:textDirection w:val="lrTb"/>
            <w:noWrap/>
          </w:tcPr>
          <w:p>
            <w:pPr>
              <w:spacing w:after="0" w:line="240" w:lineRule="auto"/>
              <w:tabs>
                <w:tab w:val="left" w:pos="3767" w:leader="none"/>
              </w:tabs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2.1. Модуль А. 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он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таж каркасно-обшивной конструкции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</w:r>
          </w:p>
        </w:tc>
        <w:tc>
          <w:tcPr>
            <w:tcW w:w="1421" w:type="dxa"/>
            <w:vMerge w:val="restart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3 часа</w:t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076" w:type="dxa"/>
            <w:vMerge w:val="restart"/>
            <w:textDirection w:val="lrTb"/>
            <w:noWrap/>
          </w:tcPr>
          <w:p>
            <w:pPr>
              <w:pStyle w:val="97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смонтирована перегородка с применением гипсокартонных листов по металлическому каркасу из оцинкованных профилей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383" w:type="dxa"/>
            <w:vMerge w:val="restart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публичная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>
          <w:trHeight w:val="299"/>
        </w:trPr>
        <w:tc>
          <w:tcPr>
            <w:tcW w:w="2272" w:type="dxa"/>
            <w:textDirection w:val="lrTb"/>
            <w:noWrap/>
          </w:tcPr>
          <w:p>
            <w:pPr>
              <w:pStyle w:val="975"/>
              <w:ind w:left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2.2. Модуль Б. Пояснение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5"/>
              <w:ind w:left="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30 мин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pStyle w:val="975"/>
              <w:ind w:left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Участник сопровождает пояснениями порядок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выполняемых действий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5"/>
              <w:ind w:left="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50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5"/>
              <w:ind w:left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закрытая часть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272" w:type="dxa"/>
            <w:textDirection w:val="lrTb"/>
            <w:noWrap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. Модуль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Облицовка плиткой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 часа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Стены и перегородки облицованы керамической плиткой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выполнена затирка швов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публичная часть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/>
        <w:tc>
          <w:tcPr>
            <w:tcW w:w="227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.4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 Модуль  Г.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Выполнение технологических отверстий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30 минут</w:t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Выполнены отверстия для инженерных коммуникаций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на облицованной поверхности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публичная часть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27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2.5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Модуль Д. 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  <w:t xml:space="preserve">Выполнение ремонта/замены плиток</w:t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  <w:t xml:space="preserve">1 час</w:t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977"/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Уложенные плитки/ фрагменты (не менее 3 шт.) заменены на плитки другого цвета, выполнена затирка швов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публичная часть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272" w:type="dxa"/>
            <w:vAlign w:val="center"/>
            <w:textDirection w:val="lrTb"/>
            <w:noWrap/>
          </w:tcPr>
          <w:p>
            <w:pPr>
              <w:jc w:val="right"/>
              <w:spacing w:after="0" w:line="240" w:lineRule="auto"/>
              <w:tabs>
                <w:tab w:val="left" w:pos="3767" w:leader="none"/>
              </w:tabs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r>
          </w:p>
        </w:tc>
        <w:tc>
          <w:tcPr>
            <w:tcW w:w="1421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076" w:type="dxa"/>
            <w:textDirection w:val="lrTb"/>
            <w:noWrap/>
          </w:tcPr>
          <w:p>
            <w:pPr>
              <w:pStyle w:val="976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5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00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383" w:type="dxa"/>
            <w:textDirection w:val="lrTb"/>
            <w:noWrap/>
          </w:tcPr>
          <w:p>
            <w:pPr>
              <w:pStyle w:val="976"/>
              <w:jc w:val="center"/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</w:tbl>
    <w:p>
      <w:pPr>
        <w:pStyle w:val="779"/>
        <w:jc w:val="center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2.1.  Перечень и описание теоретических заданий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Теоретическая часть конкурса проводится в виде тестирования и решения кейса. Теоретическое задание включает проверку знаний в области спецтехнологии, охраны труда и трудового законодательства.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Перед теоретическим заданием члены федеральной экспертной комиссии объясняют участникам содержание задания и порядок его выполнения. Объявляется контрольное время.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Максимальное количество баллов за теоретическую часть – 100.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9"/>
        <w:ind w:firstLine="709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2.1.1. Теоретическая часть – тесты. 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779"/>
        <w:ind w:firstLine="709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6"/>
          <w:szCs w:val="26"/>
          <w:lang w:eastAsia="ru-RU"/>
        </w:rPr>
        <w:t xml:space="preserve">Максимальное количество баллов – 50.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Место проведения: тестирование проводится в отдельном учебно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 классе под наблюдением членов федеральной экспертной комиссии. Одновременно тестирование может проходить небольшое количество участников (в соответствии с возможностями учебного класса) при условии, что за одним столом должен расположиться один участник.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Инвентарь: на столе должно быть только две ручки (вторая запасная).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 судей должны быть непрозрачные папки для сбора заполненных анкет, необходимое количество пустых шаблонов анкет, секундомер, ручки.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Особые требования: необходимо, чтобы все участники сдали свои телефоны и другие средства электронной связи и мобильной компьютерной техники перед сдачей теста.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Участники не должны общаться между собой во время тестирования.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После сдачи теста участники, прошедшие тестирование, должны покинуть помещение,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при этом (ВАЖНО!) не должны иметь возможность коммуницировать с участниками, не прошедшими тестирование.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Тайминг: на заполнение анкеты отведен 1 час.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975"/>
        <w:contextualSpacing w:val="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Перед началом тестирования проводится краткий инструктаж (время на инструктаж 1-2 минуты, не входит в тайминг прохождения тестирования).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contextualSpacing w:val="0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2.1.2. Теоретическая часть – кейс.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 xml:space="preserve">Максимальное количество баллов –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50.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975"/>
        <w:ind w:left="0" w:firstLine="709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Место проведения: этап «Кейс» проводится в отдельном учебном классе, под наблюдением членов федеральной экспертной комиссии. Одновременно задание может проходит только один участник.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Данный этап проводится в виде очных консультаций, по следующему принципу: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получения задания участник готовится к ответу;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подготовки он озвучивает порядок своих действий в соответствии с заданием кейса,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представитель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федеральной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экспертной комиссии фиксирует его ответы на диктофон или камеру с записью звука, используя рабочий материал для членов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федеральной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экспертной комиссии;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далее по количеству тезисов, соответствующих чек-листу, подсчитывается итоговая оценка;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 случае наличия спорных вопросов соответствующий пункт обсуждается членами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федеральной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экспертной комиссии после завершения выступления участника, и принимается коллегиальное решение (без присутствия участника Конкурса);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завершения выступления заполненная рабочая таблица изымается у участника, и он покидает учебный класс/комнату.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Инвентарь: на столе должно быть только две ручки.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 членов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федеральной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экспертной комиссии должны быть непрозрачные папки для сбора заполненных рабочих таблиц «Форма для участника», необходимое количество пустых шаблонов рабочих таблиц, секундомер, ручки, диктофон или камера для записи видео со звуком.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Особые требования: необходимо, чтобы все участники сдали свои телефоны и другие средства электронной связи и мобильной компьютерной техники перед сдачей этапа «Кейс».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выполнения задания участник должен покинуть помещение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(ВАЖНО!) при этом он не должен иметь возможность коммуницировать с участниками, не прошедшими задание.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Тайминг: общее время на каждого участника – 1 час. Оно включает: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30 минут на подготовку,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30 минут на ответ – участник озвучивает порядок своих действий в соответствии с условиями и заданиями этапа.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Время на проведение инструктажа (1-2 минуты), входит в тайминг прохождения этапа «Кейс».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2.2. Перечень и описание практических заданий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Перед выполнением практического задания члены федеральной экспертной комиссии знакомят участников Конкурса с заданием, условиями его проведения, критериями оценки, техническим описанием модели, оборудованием, инструментами и рабочим местом.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Участнику Конкурса выдается практическое задание – чертеж и описание. Заготовки, режущий и измерительный инструмент обеспечивает площадка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проведения (организатор Конкурса). Объявляется контрольное время для выполнения задания, установленное исходя из технологии выполнения работ.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После объявления старта экспертами участникам предоставляется 20-минутная подготовка, которая входит в общий хронометраж конкурсного задания. В это время они могут ознакомиться с рабочим местом и проверить оборудование в рабочем режиме.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Практическая часть состоит из пяти модулей. Один из модулей содержит задание, выполнение которого сопровождается пояснением участником порядка выполняемых действий. Выполнение данного модуля носит презентационный характер.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Максимальное время на выполнение практического модуля 7 часов.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77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Схема (план)  застройки конкурсной площадки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36195</wp:posOffset>
                </wp:positionV>
                <wp:extent cx="2827020" cy="266700"/>
                <wp:effectExtent l="0" t="0" r="11430" b="19050"/>
                <wp:wrapNone/>
                <wp:docPr id="2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827019" cy="26669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1" o:spid="_x0000_s1" o:spt="1" type="#_x0000_t1" style="position:absolute;z-index:251679744;o:allowoverlap:true;o:allowincell:true;mso-position-horizontal-relative:text;margin-left:35.25pt;mso-position-horizontal:absolute;mso-position-vertical-relative:text;margin-top:2.85pt;mso-position-vertical:absolute;width:222.60pt;height:21.00pt;mso-wrap-distance-left:9.00pt;mso-wrap-distance-top:0.00pt;mso-wrap-distance-right:9.00pt;mso-wrap-distance-bottom:0.00pt;visibility:visible;" fillcolor="#EEECE1" strokecolor="#DCD7C2" strokeweight="2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96851</wp:posOffset>
                </wp:positionV>
                <wp:extent cx="464820" cy="175260"/>
                <wp:effectExtent l="0" t="0" r="11430" b="15240"/>
                <wp:wrapNone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19" cy="17525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bg2">
                              <a:lumMod val="9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ПН, ПС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80768;o:allowoverlap:true;o:allowincell:true;mso-position-horizontal-relative:text;margin-left:130.65pt;mso-position-horizontal:absolute;mso-position-vertical-relative:text;margin-top:7.63pt;mso-position-vertical:absolute;width:36.60pt;height:13.80pt;mso-wrap-distance-left:9.00pt;mso-wrap-distance-top:3.60pt;mso-wrap-distance-right:9.00pt;mso-wrap-distance-bottom:3.60pt;v-text-anchor:top;visibility:visible;" fillcolor="#EEECE1" strokecolor="#DCD7C2" strokeweight="0.75pt">
                <v:textbox inset="0,0,0,0">
                  <w:txbxContent>
                    <w:p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ПН, ПС</w:t>
                      </w:r>
                      <w:r>
                        <w:rPr>
                          <w:sz w:val="12"/>
                          <w:szCs w:val="12"/>
                        </w:rPr>
                      </w:r>
                      <w:r>
                        <w:rPr>
                          <w:sz w:val="12"/>
                          <w:szCs w:val="1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  <w:r/>
    </w:p>
    <w:p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106045</wp:posOffset>
                </wp:positionV>
                <wp:extent cx="986790" cy="1897380"/>
                <wp:effectExtent l="0" t="0" r="22860" b="26670"/>
                <wp:wrapNone/>
                <wp:docPr id="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86789" cy="1897380"/>
                        </a:xfrm>
                        <a:prstGeom prst="rect">
                          <a:avLst/>
                        </a:prstGeom>
                        <a:solidFill>
                          <a:srgbClr val="F1F9B9"/>
                        </a:solidFill>
                        <a:ln>
                          <a:solidFill>
                            <a:srgbClr val="F1F9B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89984;o:allowoverlap:true;o:allowincell:true;mso-position-horizontal-relative:text;margin-left:179.25pt;mso-position-horizontal:absolute;mso-position-vertical-relative:text;margin-top:8.35pt;mso-position-vertical:absolute;width:77.70pt;height:149.40pt;mso-wrap-distance-left:9.00pt;mso-wrap-distance-top:0.00pt;mso-wrap-distance-right:9.00pt;mso-wrap-distance-bottom:0.00pt;visibility:visible;" fillcolor="#F1F9B9" strokecolor="#F1F9B9" strokeweight="2.00pt">
                <v:stroke dashstyle="solid"/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91008" behindDoc="0" locked="0" layoutInCell="1" allowOverlap="1">
                <wp:simplePos x="0" y="0"/>
                <wp:positionH relativeFrom="page">
                  <wp:posOffset>3638550</wp:posOffset>
                </wp:positionH>
                <wp:positionV relativeFrom="paragraph">
                  <wp:posOffset>658495</wp:posOffset>
                </wp:positionV>
                <wp:extent cx="548640" cy="278130"/>
                <wp:effectExtent l="0" t="0" r="22860" b="26670"/>
                <wp:wrapNone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8129"/>
                        </a:xfrm>
                        <a:prstGeom prst="rect">
                          <a:avLst/>
                        </a:prstGeom>
                        <a:solidFill>
                          <a:srgbClr val="F1F9B9"/>
                        </a:solidFill>
                        <a:ln w="9525">
                          <a:solidFill>
                            <a:srgbClr val="F1F9B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ГКЛ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91008;o:allowoverlap:true;o:allowincell:true;mso-position-horizontal-relative:page;margin-left:286.50pt;mso-position-horizontal:absolute;mso-position-vertical-relative:text;margin-top:51.85pt;mso-position-vertical:absolute;width:43.20pt;height:21.90pt;mso-wrap-distance-left:9.00pt;mso-wrap-distance-top:3.60pt;mso-wrap-distance-right:9.00pt;mso-wrap-distance-bottom:3.60pt;v-text-anchor:top;visibility:visible;" fillcolor="#F1F9B9" strokecolor="#F1F9B9" strokeweight="0.75pt">
                <v:textbox inset="0,0,0,0"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ГКЛ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94615</wp:posOffset>
                </wp:positionV>
                <wp:extent cx="986790" cy="1897380"/>
                <wp:effectExtent l="0" t="0" r="22860" b="26670"/>
                <wp:wrapNone/>
                <wp:docPr id="6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86789" cy="1897380"/>
                        </a:xfrm>
                        <a:prstGeom prst="rect">
                          <a:avLst/>
                        </a:prstGeom>
                        <a:solidFill>
                          <a:srgbClr val="F1F9B9"/>
                        </a:solidFill>
                        <a:ln>
                          <a:solidFill>
                            <a:srgbClr val="F1F9B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85888;o:allowoverlap:true;o:allowincell:true;mso-position-horizontal-relative:text;margin-left:179.25pt;mso-position-horizontal:absolute;mso-position-vertical-relative:text;margin-top:7.45pt;mso-position-vertical:absolute;width:77.70pt;height:149.40pt;mso-wrap-distance-left:9.00pt;mso-wrap-distance-top:0.00pt;mso-wrap-distance-right:9.00pt;mso-wrap-distance-bottom:0.00pt;visibility:visible;" fillcolor="#F1F9B9" strokecolor="#F1F9B9" strokeweight="2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79375</wp:posOffset>
                </wp:positionV>
                <wp:extent cx="1432560" cy="1371600"/>
                <wp:effectExtent l="0" t="0" r="15240" b="19050"/>
                <wp:wrapNone/>
                <wp:docPr id="7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432559" cy="137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76672;o:allowoverlap:true;o:allowincell:true;mso-position-horizontal-relative:text;margin-left:33.90pt;mso-position-horizontal:absolute;mso-position-vertical-relative:text;margin-top:6.25pt;mso-position-vertical:absolute;width:112.80pt;height:108.00pt;mso-wrap-distance-left:9.00pt;mso-wrap-distance-top:0.00pt;mso-wrap-distance-right:9.00pt;mso-wrap-distance-bottom:0.00pt;visibility:visible;" fillcolor="#4F81BD" strokecolor="#0B131C" strokeweight="2.00pt">
                <v:stroke dashstyle="solid"/>
              </v:shape>
            </w:pict>
          </mc:Fallback>
        </mc:AlternateContent>
      </w:r>
      <w:r/>
      <w:r/>
    </w:p>
    <w:p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87936" behindDoc="0" locked="0" layoutInCell="1" allowOverlap="1">
                <wp:simplePos x="0" y="0"/>
                <wp:positionH relativeFrom="page">
                  <wp:posOffset>3638550</wp:posOffset>
                </wp:positionH>
                <wp:positionV relativeFrom="paragraph">
                  <wp:posOffset>323850</wp:posOffset>
                </wp:positionV>
                <wp:extent cx="548640" cy="278130"/>
                <wp:effectExtent l="0" t="0" r="22860" b="26670"/>
                <wp:wrapNone/>
                <wp:docPr id="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8129"/>
                        </a:xfrm>
                        <a:prstGeom prst="rect">
                          <a:avLst/>
                        </a:prstGeom>
                        <a:solidFill>
                          <a:srgbClr val="F1F9B9"/>
                        </a:solidFill>
                        <a:ln w="9525">
                          <a:solidFill>
                            <a:srgbClr val="F1F9B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ГКЛ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7" o:spid="_x0000_s7" o:spt="202" type="#_x0000_t202" style="position:absolute;z-index:251687936;o:allowoverlap:true;o:allowincell:true;mso-position-horizontal-relative:page;margin-left:286.50pt;mso-position-horizontal:absolute;mso-position-vertical-relative:text;margin-top:25.50pt;mso-position-vertical:absolute;width:43.20pt;height:21.90pt;mso-wrap-distance-left:9.00pt;mso-wrap-distance-top:3.60pt;mso-wrap-distance-right:9.00pt;mso-wrap-distance-bottom:3.60pt;v-text-anchor:top;visibility:visible;" fillcolor="#F1F9B9" strokecolor="#F1F9B9" strokeweight="0.75pt">
                <v:textbox inset="0,0,0,0"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ГКЛ</w:t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  <w:r>
                        <w:rPr>
                          <w:rFonts w:ascii="Times New Roman" w:hAnsi="Times New Roman" w:cs="Times New Roman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281940</wp:posOffset>
                </wp:positionV>
                <wp:extent cx="956310" cy="266700"/>
                <wp:effectExtent l="0" t="0" r="0" b="0"/>
                <wp:wrapSquare wrapText="bothSides"/>
                <wp:docPr id="9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09" cy="26669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ПОДИУМ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77696;o:allowoverlap:true;o:allowincell:true;mso-position-horizontal-relative:text;margin-left:55.50pt;mso-position-horizontal:absolute;mso-position-vertical-relative:text;margin-top:22.20pt;mso-position-vertical:absolute;width:75.30pt;height:21.00pt;mso-wrap-distance-left:9.00pt;mso-wrap-distance-top:3.60pt;mso-wrap-distance-right:9.00pt;mso-wrap-distance-bottom:3.60pt;v-text-anchor:top;visibility:visible;" fillcolor="#4F81BD" stroked="f">
                <w10:wrap type="square"/>
                <v:textbox inset="0,0,0,0">
                  <w:txbxContent>
                    <w:p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ПОДИУМ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  <w:r/>
    </w:p>
    <w:p>
      <w:r/>
      <w:r/>
      <w:r/>
    </w:p>
    <w:p>
      <w:r/>
      <w:r/>
      <w:r/>
    </w:p>
    <w:p>
      <w:r/>
      <w:r/>
      <w:r/>
    </w:p>
    <w:p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2540</wp:posOffset>
                </wp:positionV>
                <wp:extent cx="274320" cy="304800"/>
                <wp:effectExtent l="0" t="0" r="0" b="0"/>
                <wp:wrapNone/>
                <wp:docPr id="10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2477142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74320" cy="3047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251681792;o:allowoverlap:true;o:allowincell:true;mso-position-horizontal-relative:margin;margin-left:4.50pt;mso-position-horizontal:absolute;mso-position-vertical-relative:text;margin-top:0.20pt;mso-position-vertical:absolute;width:21.60pt;height:24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3175</wp:posOffset>
                </wp:positionV>
                <wp:extent cx="1028700" cy="365760"/>
                <wp:effectExtent l="0" t="0" r="19050" b="15240"/>
                <wp:wrapNone/>
                <wp:docPr id="11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028700" cy="365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251683840;o:allowoverlap:true;o:allowincell:true;mso-position-horizontal-relative:text;margin-left:38.70pt;mso-position-horizontal:absolute;mso-position-vertical-relative:text;margin-top:0.25pt;mso-position-vertical:absolute;width:81.00pt;height:28.80pt;mso-wrap-distance-left:9.00pt;mso-wrap-distance-top:0.00pt;mso-wrap-distance-right:9.00pt;mso-wrap-distance-bottom:0.00pt;visibility:visible;" fillcolor="#4F81BD" strokecolor="#518CD4" strokeweight="2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8486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95250</wp:posOffset>
                </wp:positionV>
                <wp:extent cx="483870" cy="198120"/>
                <wp:effectExtent l="0" t="0" r="11430" b="11430"/>
                <wp:wrapSquare wrapText="bothSides"/>
                <wp:docPr id="1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69" cy="198119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СТОЛ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202" type="#_x0000_t202" style="position:absolute;z-index:251684864;o:allowoverlap:true;o:allowincell:true;mso-position-horizontal-relative:text;margin-left:60.60pt;mso-position-horizontal:absolute;mso-position-vertical-relative:text;margin-top:7.50pt;mso-position-vertical:absolute;width:38.10pt;height:15.60pt;mso-wrap-distance-left:9.00pt;mso-wrap-distance-top:3.60pt;mso-wrap-distance-right:9.00pt;mso-wrap-distance-bottom:3.60pt;v-text-anchor:top;visibility:visible;" fillcolor="#518CD4" strokecolor="#518CD4" strokeweight="0.75pt">
                <w10:wrap type="square"/>
                <v:textbox inset="0,0,0,0">
                  <w:txbxContent>
                    <w:p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СТОЛ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  <w:r/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Условные обозначения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968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>
        <w:tblPrEx/>
        <w:trPr/>
        <w:tc>
          <w:tcPr>
            <w:tcW w:w="46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1057910</wp:posOffset>
                      </wp:positionH>
                      <wp:positionV relativeFrom="paragraph">
                        <wp:posOffset>33655</wp:posOffset>
                      </wp:positionV>
                      <wp:extent cx="160020" cy="175260"/>
                      <wp:effectExtent l="38100" t="38100" r="68580" b="91440"/>
                      <wp:wrapNone/>
                      <wp:docPr id="13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160020" cy="17525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12" o:spid="_x0000_s12" style="position:absolute;left:0;text-align:left;z-index:251663360;mso-wrap-distance-left:9.00pt;mso-wrap-distance-top:0.00pt;mso-wrap-distance-right:9.00pt;mso-wrap-distance-bottom:0.00pt;flip:y;visibility:visible;" from="83.3pt,2.6pt" to="95.9pt,16.4pt" filled="f" strokecolor="#000000" strokeweight="2.00pt">
                      <v:stroke dashstyle="solid"/>
                    </v:line>
                  </w:pict>
                </mc:Fallback>
              </mc:AlternateContent>
            </w: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53340</wp:posOffset>
                      </wp:positionV>
                      <wp:extent cx="171450" cy="163830"/>
                      <wp:effectExtent l="38100" t="19050" r="76200" b="83820"/>
                      <wp:wrapNone/>
                      <wp:docPr id="14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71450" cy="16382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13" o:spid="_x0000_s13" style="position:absolute;left:0;text-align:left;z-index:251662336;mso-wrap-distance-left:9.00pt;mso-wrap-distance-top:0.00pt;mso-wrap-distance-right:9.00pt;mso-wrap-distance-bottom:0.00pt;visibility:visible;" from="83.2pt,4.2pt" to="96.7pt,17.1pt" filled="f" strokecolor="#000000" strokeweight="2.00pt">
                      <v:stroke dashstyle="solid"/>
                    </v:line>
                  </w:pict>
                </mc:Fallback>
              </mc:AlternateContent>
            </w: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0</wp:posOffset>
                      </wp:positionV>
                      <wp:extent cx="247650" cy="262890"/>
                      <wp:effectExtent l="0" t="0" r="19050" b="22860"/>
                      <wp:wrapTight wrapText="bothSides">
                        <wp:wrapPolygon edited="1">
                          <wp:start x="3323" y="0"/>
                          <wp:lineTo x="0" y="3130"/>
                          <wp:lineTo x="0" y="18783"/>
                          <wp:lineTo x="3323" y="21913"/>
                          <wp:lineTo x="19938" y="21913"/>
                          <wp:lineTo x="21600" y="18783"/>
                          <wp:lineTo x="21600" y="3130"/>
                          <wp:lineTo x="18277" y="0"/>
                          <wp:lineTo x="3323" y="0"/>
                        </wp:wrapPolygon>
                      </wp:wrapTight>
                      <wp:docPr id="15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47649" cy="26289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" o:spid="_x0000_s14" o:spt="3" type="#_x0000_t3" style="position:absolute;z-index:-251659264;o:allowoverlap:true;o:allowincell:true;mso-position-horizontal-relative:text;margin-left:80.00pt;mso-position-horizontal:absolute;mso-position-vertical-relative:text;margin-top:0.00pt;mso-position-vertical:absolute;width:19.50pt;height:20.70pt;mso-wrap-distance-left:9.00pt;mso-wrap-distance-top:0.00pt;mso-wrap-distance-right:9.00pt;mso-wrap-distance-bottom:0.00pt;visibility:visible;" wrapcoords="15384 0 0 14491 0 86958 15384 101449 92306 101449 100000 86958 100000 14491 84616 0 15384 0" fillcolor="#4F81BD" strokecolor="#0B131C" strokeweight="2.00pt">
                      <v:stroke dashstyle="solid"/>
                      <w10:wrap type="tigh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Розетка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143979</wp:posOffset>
                      </wp:positionH>
                      <wp:positionV relativeFrom="paragraph">
                        <wp:posOffset>275121</wp:posOffset>
                      </wp:positionV>
                      <wp:extent cx="604299" cy="169204"/>
                      <wp:effectExtent l="0" t="0" r="5715" b="2540"/>
                      <wp:wrapNone/>
                      <wp:docPr id="16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230299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04298" cy="16920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position:absolute;z-index:251667456;o:allowoverlap:true;o:allowincell:true;mso-position-horizontal-relative:text;margin-left:11.34pt;mso-position-horizontal:absolute;mso-position-vertical-relative:text;margin-top:21.66pt;mso-position-vertical:absolute;width:47.58pt;height:13.32pt;mso-wrap-distance-left:9.00pt;mso-wrap-distance-top:0.00pt;mso-wrap-distance-right:9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18984" cy="784726"/>
                      <wp:effectExtent l="0" t="0" r="635" b="0"/>
                      <wp:docPr id="17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59306802" name="Picture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30336" cy="79560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64.49pt;height:61.79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Подиум для выполнения задания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Размеры подиума для конкурсного задания 1500х1500 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95"/>
        </w:trPr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159689</wp:posOffset>
                      </wp:positionH>
                      <wp:positionV relativeFrom="paragraph">
                        <wp:posOffset>104582</wp:posOffset>
                      </wp:positionV>
                      <wp:extent cx="405130" cy="198755"/>
                      <wp:effectExtent l="0" t="0" r="13970" b="10795"/>
                      <wp:wrapSquare wrapText="bothSides"/>
                      <wp:docPr id="18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5129" cy="1987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2"/>
                                    </w:rPr>
                                    <w:t xml:space="preserve">СТОЛ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2"/>
                                    </w:rPr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2"/>
                                      <w:szCs w:val="1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" o:spid="_x0000_s17" o:spt="202" type="#_x0000_t202" style="position:absolute;z-index:251670528;o:allowoverlap:true;o:allowincell:true;mso-position-horizontal-relative:text;margin-left:12.57pt;mso-position-horizontal:absolute;mso-position-vertical-relative:text;margin-top:8.23pt;mso-position-vertical:absolute;width:31.90pt;height:15.65pt;mso-wrap-distance-left:9.00pt;mso-wrap-distance-top:3.60pt;mso-wrap-distance-right:9.00pt;mso-wrap-distance-bottom:3.60pt;v-text-anchor:top;visibility:visible;" fillcolor="#518CD4" strokecolor="#518CD4" strokeweight="0.75pt">
                      <w10:wrap type="square"/>
                      <v:textbox inset="0,0,0,0"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СТОЛ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81197</wp:posOffset>
                      </wp:positionV>
                      <wp:extent cx="595878" cy="238539"/>
                      <wp:effectExtent l="0" t="0" r="13970" b="28575"/>
                      <wp:wrapNone/>
                      <wp:docPr id="19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595877" cy="238538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" o:spid="_x0000_s18" o:spt="1" type="#_x0000_t1" style="position:absolute;z-index:251668480;o:allowoverlap:true;o:allowincell:true;mso-position-horizontal-relative:text;margin-left:2.63pt;mso-position-horizontal:absolute;mso-position-vertical-relative:text;margin-top:6.39pt;mso-position-vertical:absolute;width:46.92pt;height:18.78pt;mso-wrap-distance-left:9.00pt;mso-wrap-distance-top:0.00pt;mso-wrap-distance-right:9.00pt;mso-wrap-distance-bottom:0.00pt;visibility:visible;" fillcolor="#4F81BD" strokecolor="#518CD4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Стол рабочий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73600" behindDoc="1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87630</wp:posOffset>
                      </wp:positionV>
                      <wp:extent cx="430530" cy="175260"/>
                      <wp:effectExtent l="0" t="0" r="26670" b="15240"/>
                      <wp:wrapTight wrapText="bothSides">
                        <wp:wrapPolygon edited="1">
                          <wp:start x="0" y="0"/>
                          <wp:lineTo x="0" y="21130"/>
                          <wp:lineTo x="21982" y="21130"/>
                          <wp:lineTo x="21982" y="0"/>
                          <wp:lineTo x="0" y="0"/>
                        </wp:wrapPolygon>
                      </wp:wrapTight>
                      <wp:docPr id="20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0529" cy="17525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 xml:space="preserve">ПН, ПС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" o:spid="_x0000_s19" o:spt="202" type="#_x0000_t202" style="position:absolute;z-index:-251673600;o:allowoverlap:true;o:allowincell:true;mso-position-horizontal-relative:text;margin-left:94.70pt;mso-position-horizontal:absolute;mso-position-vertical-relative:text;margin-top:6.90pt;mso-position-vertical:absolute;width:33.90pt;height:13.80pt;mso-wrap-distance-left:9.00pt;mso-wrap-distance-top:3.60pt;mso-wrap-distance-right:9.00pt;mso-wrap-distance-bottom:3.60pt;v-text-anchor:top;visibility:visible;" wrapcoords="0 0 0 97824 101769 97824 101769 0 0 0" fillcolor="#EEECE1" strokecolor="#DCD7C2" strokeweight="0.75pt">
                      <w10:wrap type="tight"/>
                      <v:textbox inset="0,0,0,0">
                        <w:txbxContent>
                          <w:p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ПН, ПС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50165</wp:posOffset>
                      </wp:positionV>
                      <wp:extent cx="2617470" cy="266700"/>
                      <wp:effectExtent l="0" t="0" r="11430" b="19050"/>
                      <wp:wrapNone/>
                      <wp:docPr id="21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617470" cy="266699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001">
                                <a:schemeClr val="lt2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0" o:spid="_x0000_s20" o:spt="1" type="#_x0000_t1" style="position:absolute;z-index:251671552;o:allowoverlap:true;o:allowincell:true;mso-position-horizontal-relative:text;margin-left:11.00pt;mso-position-horizontal:absolute;mso-position-vertical-relative:text;margin-top:3.95pt;mso-position-vertical:absolute;width:206.10pt;height:21.00pt;mso-wrap-distance-left:9.00pt;mso-wrap-distance-top:0.00pt;mso-wrap-distance-right:9.00pt;mso-wrap-distance-bottom:0.00pt;visibility:visible;" fillcolor="#EEECE1" strokecolor="#DCD7C2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Место складирования профилей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1105866</wp:posOffset>
                      </wp:positionH>
                      <wp:positionV relativeFrom="paragraph">
                        <wp:posOffset>389089</wp:posOffset>
                      </wp:positionV>
                      <wp:extent cx="571500" cy="304800"/>
                      <wp:effectExtent l="0" t="0" r="0" b="0"/>
                      <wp:wrapNone/>
                      <wp:docPr id="22" name="Рисунок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2499600" name="Picture 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1500" cy="30479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position:absolute;z-index:251694080;o:allowoverlap:true;o:allowincell:true;mso-position-horizontal-relative:text;margin-left:87.08pt;mso-position-horizontal:absolute;mso-position-vertical-relative:text;margin-top:30.64pt;mso-position-vertical:absolute;width:45.00pt;height:24.00pt;mso-wrap-distance-left:9.00pt;mso-wrap-distance-top:0.00pt;mso-wrap-distance-right:9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-381635</wp:posOffset>
                      </wp:positionV>
                      <wp:extent cx="986790" cy="1897380"/>
                      <wp:effectExtent l="1905" t="0" r="24765" b="24765"/>
                      <wp:wrapThrough wrapText="bothSides">
                        <wp:wrapPolygon edited="1">
                          <wp:start x="21558" y="-22"/>
                          <wp:lineTo x="-125" y="-22"/>
                          <wp:lineTo x="-125" y="21665"/>
                          <wp:lineTo x="21558" y="21665"/>
                          <wp:lineTo x="21558" y="-22"/>
                        </wp:wrapPolygon>
                      </wp:wrapThrough>
                      <wp:docPr id="23" name="Прямоугольни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6199969">
                                <a:off x="0" y="0"/>
                                <a:ext cx="986789" cy="1897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1F9B9"/>
                              </a:solidFill>
                              <a:ln>
                                <a:solidFill>
                                  <a:srgbClr val="F1F9B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2" o:spid="_x0000_s22" o:spt="1" type="#_x0000_t1" style="position:absolute;z-index:251693056;o:allowoverlap:true;o:allowincell:true;mso-position-horizontal-relative:text;margin-left:68.05pt;mso-position-horizontal:absolute;mso-position-vertical-relative:text;margin-top:-30.05pt;mso-position-vertical:absolute;width:77.70pt;height:149.40pt;mso-wrap-distance-left:9.00pt;mso-wrap-distance-top:0.00pt;mso-wrap-distance-right:9.00pt;mso-wrap-distance-bottom:0.00pt;rotation:269;visibility:visible;" wrapcoords="99806 -101 -578 -101 -578 100301 99806 100301 99806 -101" fillcolor="#F1F9B9" strokecolor="#F1F9B9" strokeweight="2.00pt">
                      <v:stroke dashstyle="solid"/>
                      <w10:wrap type="through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Место складирования ГСП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77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Размеры </w:t>
      </w:r>
      <w:r>
        <w:rPr>
          <w:rFonts w:ascii="Times New Roman" w:hAnsi="Times New Roman"/>
          <w:sz w:val="26"/>
          <w:szCs w:val="26"/>
        </w:rPr>
        <w:t xml:space="preserve">подиума для конкурсного задания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1500</w:t>
      </w:r>
      <w:r>
        <w:rPr>
          <w:rFonts w:ascii="Times New Roman" w:hAnsi="Times New Roman"/>
          <w:sz w:val="26"/>
          <w:szCs w:val="26"/>
        </w:rPr>
        <w:t xml:space="preserve">х1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00 мм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6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>
      <w:pPr>
        <w:pStyle w:val="97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</w:rPr>
        <w:t xml:space="preserve">Модуль А. Монтаж каркасно-обшивной конструкции.</w:t>
      </w: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Время на выполнение задания: примерно 3 часа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. Количество баллов: 1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00.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Смонтировать на подиуме (размером 1500х1500 мм.) в соответствии с представленными чертежами КЗ каркасно-обшивную конструкцию в соответствии с СП 163.1325800.2014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pacing w:val="2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Модуль включает поэлементную сборку каркасно-обшивных перегородок с применением гипсокартонных листов по металлическо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му каркасу из оцинкованных профилей. Все элементы (фрагменты) конструкции собираются на рабочем месте и только во время проведения конкурса. Во время и после выполнения задания, участник должен обращать внимание на организацию рабочего места и его чистоту.</w:t>
      </w:r>
      <w:r>
        <w:rPr>
          <w:rFonts w:ascii="Times New Roman" w:hAnsi="Times New Roman" w:eastAsia="Times New Roman" w:cs="Times New Roman"/>
          <w:b/>
          <w:bCs/>
          <w:spacing w:val="20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bCs/>
          <w:spacing w:val="20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Последовательность: разметка мест установки элементов каркаса, устройство металлического каркаса, крепление гипсокартонных листов, шпаклевка и шлифовка стыков и мест крепления саморезов.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При приемке работ по монтажу перегородок следует проверять отсутствие трещин, отбитых углов, вздутий, надрывов картона (для конструкций с обшивкой из гипсокар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тонных листов), устойчивость конструкций, а также надежность крепления гипсокартонных листов к каркасу самонарезающими винтами (головки винтов должны быть утоплены в листы на глубину около 1 мм). Перепады между смежными листами не должны превышать 0,5 мм.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Допустимые отклонения для конструкций: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 1 мм для геометрических параметров менее 300 мм; (0-299 мм);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 2 мм для геометрических параметров от 300 мм до 1200 мм; (300-1199 мм);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 3 мм для геометрических параметров свыше 1200 мм (1200-∞ мм).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Допустимые отклонения для конструкций (угольник):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до 2 мм для геометрических параметров 300 мм.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(CП 163.1325800.2014).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При производстве работ необходимо  соблюдать требования СНиП 12-03-2001 «Безопасность труда в строительстве», 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равил пожарной безопасности, предусмотренных в ГОСТ 12.1.004-91* «ССБТ. Пожарная безопасность. Общие требования» и в постановлении Правительства Российской Федерации от 16.09.2020 № 1479 «Об утверждении Правил противопожарного режима в Российской Федерации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</w:p>
    <w:p>
      <w:pPr>
        <w:pStyle w:val="975"/>
        <w:ind w:left="0"/>
        <w:jc w:val="center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6"/>
          <w:highlight w:val="white"/>
        </w:rPr>
        <w:t xml:space="preserve">Модуль Б. Пояснение </w:t>
      </w:r>
      <w:r>
        <w:rPr>
          <w:rFonts w:ascii="Times New Roman" w:hAnsi="Times New Roman"/>
          <w:highlight w:val="white"/>
        </w:rPr>
      </w:r>
      <w:r>
        <w:rPr>
          <w:rFonts w:ascii="Times New Roman" w:hAnsi="Times New Roman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highlight w:val="white"/>
          <w:u w:val="single"/>
        </w:rPr>
      </w:pPr>
      <w:r>
        <w:rPr>
          <w:rFonts w:ascii="Times New Roman" w:hAnsi="Times New Roman"/>
          <w:sz w:val="26"/>
          <w:highlight w:val="white"/>
        </w:rPr>
        <w:t xml:space="preserve">Время на выполнение модуля: </w:t>
      </w:r>
      <w:r>
        <w:rPr>
          <w:rFonts w:ascii="Times New Roman" w:hAnsi="Times New Roman"/>
          <w:sz w:val="26"/>
          <w:highlight w:val="white"/>
        </w:rPr>
        <w:t xml:space="preserve">30</w:t>
      </w:r>
      <w:r>
        <w:rPr>
          <w:rFonts w:ascii="Times New Roman" w:hAnsi="Times New Roman"/>
          <w:sz w:val="26"/>
          <w:highlight w:val="white"/>
        </w:rPr>
        <w:t xml:space="preserve"> минут. Количество баллов: </w:t>
      </w:r>
      <w:r>
        <w:rPr>
          <w:rFonts w:ascii="Times New Roman" w:hAnsi="Times New Roman"/>
          <w:sz w:val="26"/>
          <w:highlight w:val="white"/>
        </w:rPr>
        <w:t xml:space="preserve">5</w:t>
      </w:r>
      <w:r>
        <w:rPr>
          <w:rFonts w:ascii="Times New Roman" w:hAnsi="Times New Roman"/>
          <w:sz w:val="26"/>
          <w:highlight w:val="white"/>
        </w:rPr>
        <w:t xml:space="preserve">0.</w:t>
      </w:r>
      <w:r>
        <w:rPr>
          <w:rFonts w:ascii="Times New Roman" w:hAnsi="Times New Roman"/>
          <w:highlight w:val="white"/>
          <w:u w:val="single"/>
        </w:rPr>
      </w:r>
      <w:r>
        <w:rPr>
          <w:rFonts w:ascii="Times New Roman" w:hAnsi="Times New Roman"/>
          <w:highlight w:val="white"/>
          <w:u w:val="singl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6"/>
          <w:highlight w:val="white"/>
          <w:u w:val="single"/>
        </w:rPr>
        <w:t xml:space="preserve">Задание:</w:t>
      </w:r>
      <w:r>
        <w:rPr>
          <w:rFonts w:ascii="Times New Roman" w:hAnsi="Times New Roman"/>
          <w:highlight w:val="white"/>
        </w:rPr>
      </w:r>
      <w:r>
        <w:rPr>
          <w:rFonts w:ascii="Times New Roman" w:hAnsi="Times New Roman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Участник Конк</w:t>
      </w: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урса сопровождает пояснениями порядок выполняемых действий (задание озвучивается участнику перед началом модуля). Члены федеральной экспертной комиссии (2-3 чел.) фиксируют озвученные ответы. Если наименование операции не было озвучено, ставится нарушение.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Дополнительное оборудование: диктофон или камера смартфона для фиксации ответов.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pStyle w:val="975"/>
        <w:ind w:left="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</w:p>
    <w:p>
      <w:pPr>
        <w:pStyle w:val="975"/>
        <w:ind w:left="0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  <w:lang w:eastAsia="ru-RU"/>
        </w:rPr>
        <w:t xml:space="preserve">Модуль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white"/>
          <w:lang w:eastAsia="ru-RU"/>
        </w:rPr>
        <w:t xml:space="preserve">.  Облицовка поверхности плиткой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Время на выполнение задания: примерно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часа. Количество баллов: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  <w:t xml:space="preserve">150.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spacing w:val="2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Модуль включает облицовку перегородок керамической плиткой на плиточном клее в плоскости, согласно прилагаемым чертежам.</w:t>
      </w:r>
      <w:r>
        <w:rPr>
          <w:rFonts w:ascii="Times New Roman" w:hAnsi="Times New Roman" w:eastAsia="Times New Roman" w:cs="Times New Roman"/>
          <w:b/>
          <w:spacing w:val="20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spacing w:val="20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Последовательность: очистка  поверхностей, разбивка поверхностей на захватки, разметка плитки в соответствии с чертежом, подг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отовка фрагментов для укладки (резка, шлифование плитки), приготовление плиточного клея вручную и с использованием средств малой механизации, облицовка поверхностей керамической плиткой, затирка швов, очистка облицованной поверхности, уборка рабочей зоны.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Участник самостоятельно осуществляет подготовку стены для последующей укладки плитки: производит выравнивание поверхности (если в этом есть необходимость). Последовательность облицовки стены не имеет значения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Швы облицовки должны быть ровными, одинаковой ширины. Швы должны быть заполнены специальными шовными материалами (затирками) пo ГOCT P 58271.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Требования к облицовочным покрытиям: 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тклонение от вертикали, на 1 м длины, не более 1,5 мм;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тклонения расположения швов от вертикали и горизонтали, мм на 1 м длины, не болеe 1,5 мм;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еровности плоскости облицовки (при контроле двухметровой рейкой) не более 2 мм;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тклонения ширины шва, не более 0,5 мм.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При производстве работ необходимо соблюда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ть требования СНиП 12-03-2001 «Безопасность труда в строительстве»,  правил пожарной безопасности, предусмотренных в постановлении Правительства Российской Федерации от 16.09.2020 № 1479 «Об утверждении Правил противопожарного режима в Российской Федерации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Модуль  Г. Выполнение технологических отверстий</w:t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Время на выполнение задания: примерно 30 минут. Количество баллов: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50.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6"/>
          <w:highlight w:val="white"/>
          <w:u w:val="single"/>
        </w:rPr>
        <w:t xml:space="preserve">Задание:</w:t>
      </w:r>
      <w:r>
        <w:rPr>
          <w:rFonts w:ascii="Times New Roman" w:hAnsi="Times New Roman"/>
          <w:highlight w:val="white"/>
        </w:rPr>
      </w:r>
      <w:r>
        <w:rPr>
          <w:rFonts w:ascii="Times New Roman" w:hAnsi="Times New Roman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соответствии с проектом выполнить коронкой диаметром 50 мм отверстия для инженерных коммуникаций.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Резка отверстия выполняется на облицованной поверхности.</w:t>
      </w:r>
      <w:r>
        <w:t xml:space="preserve"> </w:t>
      </w: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При выполнении работ важно учитывать, что резка отверстий в облицованных поверхностях требует соблюдения дополнительных мер предосторожности для предотвращения повреждения облицовки и обеспечения герметичности соединений.</w:t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Требования к выполненной работе </w:t>
      </w: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включают контроль отклонений размеров отверстий от номинальных значений, точность обработки кромок, шероховатость поверхности и допустимые пределы деформаций материала покрытия вокруг вырезанного участка.</w:t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При выполнении работы следует соблюдать требования </w:t>
      </w: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ГОСТ 9472-90 («Крепление инструментов на оправках. Типы и размеры»)</w:t>
      </w: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.</w:t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bCs/>
          <w:sz w:val="25"/>
          <w:szCs w:val="25"/>
        </w:rPr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  <w:r>
        <w:rPr>
          <w:rFonts w:ascii="Times New Roman" w:hAnsi="Times New Roman" w:eastAsia="Times New Roman" w:cs="Times New Roman"/>
          <w:bCs/>
          <w:sz w:val="25"/>
          <w:szCs w:val="25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 w:val="0"/>
          <w:sz w:val="26"/>
          <w:szCs w:val="26"/>
        </w:rPr>
        <w:t xml:space="preserve">Модуль Д. </w:t>
      </w:r>
      <w:r>
        <w:rPr>
          <w:rFonts w:ascii="Times New Roman" w:hAnsi="Times New Roman"/>
          <w:sz w:val="26"/>
          <w:szCs w:val="26"/>
        </w:rPr>
        <w:t xml:space="preserve">Выполнение ремонта/замены плиток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Время на выполнение задания: примерно 1 час. Количество баллов: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50.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highlight w:val="white"/>
          <w:u w:val="single"/>
        </w:rPr>
      </w:pPr>
      <w:r>
        <w:rPr>
          <w:rFonts w:ascii="Times New Roman" w:hAnsi="Times New Roman"/>
          <w:sz w:val="26"/>
          <w:highlight w:val="white"/>
          <w:u w:val="single"/>
        </w:rPr>
        <w:t xml:space="preserve">Задание:</w:t>
      </w:r>
      <w:r>
        <w:rPr>
          <w:rFonts w:ascii="Times New Roman" w:hAnsi="Times New Roman"/>
          <w:sz w:val="26"/>
          <w:highlight w:val="white"/>
          <w:u w:val="single"/>
        </w:rPr>
      </w:r>
      <w:r>
        <w:rPr>
          <w:rFonts w:ascii="Times New Roman" w:hAnsi="Times New Roman"/>
          <w:sz w:val="26"/>
          <w:highlight w:val="white"/>
          <w:u w:val="single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еобходимо заменить уложенные плитки/фрагменты (не менее 3 шт.) на плитки другого цвета, выполнить затирку.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Для замены плитки и выполнения затирки швов сначала необходимо освободить швы от остатков старого клея и затирочной смеси. Далее удал</w:t>
      </w:r>
      <w:r>
        <w:rPr>
          <w:rFonts w:ascii="Times New Roman" w:hAnsi="Times New Roman"/>
          <w:sz w:val="26"/>
          <w:szCs w:val="26"/>
        </w:rPr>
        <w:t xml:space="preserve">ить </w:t>
      </w:r>
      <w:r>
        <w:rPr>
          <w:rFonts w:ascii="Times New Roman" w:hAnsi="Times New Roman"/>
          <w:sz w:val="26"/>
          <w:szCs w:val="26"/>
        </w:rPr>
        <w:t xml:space="preserve">повреждённый элемент: начиная с места скола или трещины, керамику аккуратно </w:t>
      </w:r>
      <w:r>
        <w:rPr>
          <w:rFonts w:ascii="Times New Roman" w:hAnsi="Times New Roman"/>
          <w:sz w:val="26"/>
          <w:szCs w:val="26"/>
        </w:rPr>
        <w:t xml:space="preserve">разби</w:t>
      </w:r>
      <w:r>
        <w:rPr>
          <w:rFonts w:ascii="Times New Roman" w:hAnsi="Times New Roman"/>
          <w:sz w:val="26"/>
          <w:szCs w:val="26"/>
        </w:rPr>
        <w:t xml:space="preserve">ть</w:t>
      </w:r>
      <w:r>
        <w:rPr>
          <w:rFonts w:ascii="Times New Roman" w:hAnsi="Times New Roman"/>
          <w:sz w:val="26"/>
          <w:szCs w:val="26"/>
        </w:rPr>
        <w:t xml:space="preserve"> на части с помощью зубила и молотка, после чего уб</w:t>
      </w:r>
      <w:r>
        <w:rPr>
          <w:rFonts w:ascii="Times New Roman" w:hAnsi="Times New Roman"/>
          <w:sz w:val="26"/>
          <w:szCs w:val="26"/>
        </w:rPr>
        <w:t xml:space="preserve">рать</w:t>
      </w:r>
      <w:r>
        <w:rPr>
          <w:rFonts w:ascii="Times New Roman" w:hAnsi="Times New Roman"/>
          <w:sz w:val="26"/>
          <w:szCs w:val="26"/>
        </w:rPr>
        <w:t xml:space="preserve"> все фрагменты. Старую клеевую смесь с основания также сн</w:t>
      </w:r>
      <w:r>
        <w:rPr>
          <w:rFonts w:ascii="Times New Roman" w:hAnsi="Times New Roman"/>
          <w:sz w:val="26"/>
          <w:szCs w:val="26"/>
        </w:rPr>
        <w:t xml:space="preserve">ять</w:t>
      </w:r>
      <w:r>
        <w:rPr>
          <w:rFonts w:ascii="Times New Roman" w:hAnsi="Times New Roman"/>
          <w:sz w:val="26"/>
          <w:szCs w:val="26"/>
        </w:rPr>
        <w:t xml:space="preserve">. Поверхность тщательно очи</w:t>
      </w:r>
      <w:r>
        <w:rPr>
          <w:rFonts w:ascii="Times New Roman" w:hAnsi="Times New Roman"/>
          <w:sz w:val="26"/>
          <w:szCs w:val="26"/>
        </w:rPr>
        <w:t xml:space="preserve">стить</w:t>
      </w:r>
      <w:r>
        <w:rPr>
          <w:rFonts w:ascii="Times New Roman" w:hAnsi="Times New Roman"/>
          <w:sz w:val="26"/>
          <w:szCs w:val="26"/>
        </w:rPr>
        <w:t xml:space="preserve"> от мусора, прот</w:t>
      </w:r>
      <w:r>
        <w:rPr>
          <w:rFonts w:ascii="Times New Roman" w:hAnsi="Times New Roman"/>
          <w:sz w:val="26"/>
          <w:szCs w:val="26"/>
        </w:rPr>
        <w:t xml:space="preserve">ереть</w:t>
      </w:r>
      <w:r>
        <w:rPr>
          <w:rFonts w:ascii="Times New Roman" w:hAnsi="Times New Roman"/>
          <w:sz w:val="26"/>
          <w:szCs w:val="26"/>
        </w:rPr>
        <w:t xml:space="preserve"> влажной ветошью. После этого основание и края соседних плиток обраб</w:t>
      </w:r>
      <w:r>
        <w:rPr>
          <w:rFonts w:ascii="Times New Roman" w:hAnsi="Times New Roman"/>
          <w:sz w:val="26"/>
          <w:szCs w:val="26"/>
        </w:rPr>
        <w:t xml:space="preserve">отать</w:t>
      </w:r>
      <w:r>
        <w:rPr>
          <w:rFonts w:ascii="Times New Roman" w:hAnsi="Times New Roman"/>
          <w:sz w:val="26"/>
          <w:szCs w:val="26"/>
        </w:rPr>
        <w:t xml:space="preserve"> грунтовкой.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Перед укладкой новой плитки определить необходимую толщину слоя клея. Клей на</w:t>
      </w:r>
      <w:r>
        <w:rPr>
          <w:rFonts w:ascii="Times New Roman" w:hAnsi="Times New Roman"/>
          <w:sz w:val="26"/>
          <w:szCs w:val="26"/>
        </w:rPr>
        <w:t xml:space="preserve">нести</w:t>
      </w:r>
      <w:r>
        <w:rPr>
          <w:rFonts w:ascii="Times New Roman" w:hAnsi="Times New Roman"/>
          <w:sz w:val="26"/>
          <w:szCs w:val="26"/>
        </w:rPr>
        <w:t xml:space="preserve"> зубчатым шпателем на основание и тонким слоем на обратную сторону плитки, а затем сформир</w:t>
      </w:r>
      <w:r>
        <w:rPr>
          <w:rFonts w:ascii="Times New Roman" w:hAnsi="Times New Roman"/>
          <w:sz w:val="26"/>
          <w:szCs w:val="26"/>
        </w:rPr>
        <w:t xml:space="preserve">овать</w:t>
      </w:r>
      <w:r>
        <w:rPr>
          <w:rFonts w:ascii="Times New Roman" w:hAnsi="Times New Roman"/>
          <w:sz w:val="26"/>
          <w:szCs w:val="26"/>
        </w:rPr>
        <w:t xml:space="preserve"> борозды зубчатым шпателем. Плитку устан</w:t>
      </w:r>
      <w:r>
        <w:rPr>
          <w:rFonts w:ascii="Times New Roman" w:hAnsi="Times New Roman"/>
          <w:sz w:val="26"/>
          <w:szCs w:val="26"/>
        </w:rPr>
        <w:t xml:space="preserve">о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ить</w:t>
      </w:r>
      <w:r>
        <w:rPr>
          <w:rFonts w:ascii="Times New Roman" w:hAnsi="Times New Roman"/>
          <w:sz w:val="26"/>
          <w:szCs w:val="26"/>
        </w:rPr>
        <w:t xml:space="preserve"> на место, встав</w:t>
      </w:r>
      <w:r>
        <w:rPr>
          <w:rFonts w:ascii="Times New Roman" w:hAnsi="Times New Roman"/>
          <w:sz w:val="26"/>
          <w:szCs w:val="26"/>
        </w:rPr>
        <w:t xml:space="preserve">ить</w:t>
      </w:r>
      <w:r>
        <w:rPr>
          <w:rFonts w:ascii="Times New Roman" w:hAnsi="Times New Roman"/>
          <w:sz w:val="26"/>
          <w:szCs w:val="26"/>
        </w:rPr>
        <w:t xml:space="preserve"> крестики для ровных швов и плотно прижа</w:t>
      </w:r>
      <w:r>
        <w:rPr>
          <w:rFonts w:ascii="Times New Roman" w:hAnsi="Times New Roman"/>
          <w:sz w:val="26"/>
          <w:szCs w:val="26"/>
        </w:rPr>
        <w:t xml:space="preserve">ть</w:t>
      </w:r>
      <w:r>
        <w:rPr>
          <w:rFonts w:ascii="Times New Roman" w:hAnsi="Times New Roman"/>
          <w:sz w:val="26"/>
          <w:szCs w:val="26"/>
        </w:rPr>
        <w:t xml:space="preserve">, слегка двигая из стороны в сторону для равномерной посадки. Выступивший клей сразу убра</w:t>
      </w:r>
      <w:r>
        <w:rPr>
          <w:rFonts w:ascii="Times New Roman" w:hAnsi="Times New Roman"/>
          <w:sz w:val="26"/>
          <w:szCs w:val="26"/>
        </w:rPr>
        <w:t xml:space="preserve">ть</w:t>
      </w:r>
      <w:r>
        <w:rPr>
          <w:rFonts w:ascii="Times New Roman" w:hAnsi="Times New Roman"/>
          <w:sz w:val="26"/>
          <w:szCs w:val="26"/>
        </w:rPr>
        <w:t xml:space="preserve"> шпателем, а следы — влажной тряпкой. Положение плитки провер</w:t>
      </w:r>
      <w:r>
        <w:rPr>
          <w:rFonts w:ascii="Times New Roman" w:hAnsi="Times New Roman"/>
          <w:sz w:val="26"/>
          <w:szCs w:val="26"/>
        </w:rPr>
        <w:t xml:space="preserve">ить</w:t>
      </w:r>
      <w:r>
        <w:rPr>
          <w:rFonts w:ascii="Times New Roman" w:hAnsi="Times New Roman"/>
          <w:sz w:val="26"/>
          <w:szCs w:val="26"/>
        </w:rPr>
        <w:t xml:space="preserve"> строительным уровнем.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Затирочную смесь наносят резиновым шпателем по диагонали к швам, полностью заполняя межплиточные промежутки. Излишки убра</w:t>
      </w:r>
      <w:r>
        <w:rPr>
          <w:rFonts w:ascii="Times New Roman" w:hAnsi="Times New Roman"/>
          <w:sz w:val="26"/>
          <w:szCs w:val="26"/>
        </w:rPr>
        <w:t xml:space="preserve">ть</w:t>
      </w:r>
      <w:r>
        <w:rPr>
          <w:rFonts w:ascii="Times New Roman" w:hAnsi="Times New Roman"/>
          <w:sz w:val="26"/>
          <w:szCs w:val="26"/>
        </w:rPr>
        <w:t xml:space="preserve"> шпателем, затем влажной губкой. После высыхания на плитке могут остаться светлые разводы, которые удал</w:t>
      </w:r>
      <w:r>
        <w:rPr>
          <w:rFonts w:ascii="Times New Roman" w:hAnsi="Times New Roman"/>
          <w:sz w:val="26"/>
          <w:szCs w:val="26"/>
        </w:rPr>
        <w:t xml:space="preserve">ить</w:t>
      </w:r>
      <w:r>
        <w:rPr>
          <w:rFonts w:ascii="Times New Roman" w:hAnsi="Times New Roman"/>
          <w:sz w:val="26"/>
          <w:szCs w:val="26"/>
        </w:rPr>
        <w:t xml:space="preserve"> сухой мягкой тканью.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sz w:val="26"/>
          <w:szCs w:val="26"/>
        </w:rPr>
        <w:t xml:space="preserve">В случае отслоения соседних плиток от поверхности – конкурсант восстанавливает их.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Требования охраны труда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К самостоятельной работе допускаются участники Конкурса после прохождения ими инструктажа на рабочем месте. Перед началом Конкурса участники  проходят инструктажи с обязательной росписью в Протоколе инструктажа: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инструктаж по охране труда по программе «Организация безопасности труда»;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инструктаж по охране труда по программе «Охрана труда при работе с электроприборами».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В процессе выполнения конкурсных заданий и нахождения на территории и в помещениях места проведения конкурса, участник Конкурса обязан четко соблюдать: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инструкции по охране труда;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не заходить за ограждения и в технические помещения;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соблюдать личную гигиену;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принимать пищу в строго отведенных местах;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самостоятельно использовать инструмент и оборудование, разрешенное к выполнению конкурсного задания;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 каждом несчастном случае пострадавший или очевидец несчастного случая немедленно должен известить члена федеральной экспертной комиссии.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Член федеральной экспертной комиссии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 должен знать местонахождения медицинской аптечки; знать инструкцию по оказанию первой медицинской помощи пострадавшим и уметь оказать первую помощь. При необходимости вызвать скорую медицинскую помощь или доставить в медицинское учреждение.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Работа на конкурсной площадке разрешается исключительно в присутствии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члена федеральной экспертной комиссии.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Перед началом выполнения задания участники Конкурса должны: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роверить специальную одежду, обувь и др. средства индивидуальной защиты;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деть необходимые средства защиты для выполнения подготовки рабочих мест, инструмента и оборудования;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одготовить рабочее место: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принять материал и электроинструменты;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разместить инструмент и расходные материалы на свое усмотрение;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произвести подключение и настройку электроинструментов;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одготовить инструмент и оборудование разрешенное к самостоятельной работе.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Участнику Конкурса запрещается приступать к выполнению конкурсного задания при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обнаружении неисправности инструмента или оборудования. О замеченных недостатках и неисправностях немедленно сообщить члену федеральной экспертной комиссии и до устранения неполадок к конкурсному заданию не приступать.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При выполнении конкурсных заданий участнику Конкурса необходимо соблюдать требования безопасности при использовании инструмента и оборудования.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При выполнении конкурсных заданий и уборке рабочих мест: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необходимо быть внимательным, не отвлекаться посторонними разговорами и делами, не отвлекать других участников;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соблюдать правила эксплуатации оборудования, механизмов и инструментов, не подвергать их механическим ударам, не допускать падений; -поддерживать порядок и чистоту на рабочем месте;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рабочий инструмент располагать таким образом, чтобы исключалась возможность его скатывания и падения;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выполнять конкурсные задания только исправным инструментом;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участник Конкурса обязан использовать в своей работе индивидуальные средства защиты (очки, респираторы, наколенники);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• при резке и перерубке керамических плиток следует пользоваться защитными очками.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 окончании работ участнику Конкурса необходимо отключить электроинструмент и оборудование от электросети, привести рабочее место в порядок, промыть инструмент.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После окончания работ каждый участник Конкурса обязан: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убрать инструмент и приспособления, привести в порядок рабочее место;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очистить рабочее место от остатков материала и строительного мусора;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отключить электроинструменты от электросети;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  <w:t xml:space="preserve">снять спецодежду и индивидуальные средства защиты.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</w:p>
    <w:p>
      <w:pPr>
        <w:pStyle w:val="975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:lang w:eastAsia="ru-RU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Перечень оборудования и материалов для проведения практического этапа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3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5"/>
        <w:gridCol w:w="2409"/>
        <w:gridCol w:w="4017"/>
        <w:gridCol w:w="1417"/>
        <w:gridCol w:w="803"/>
      </w:tblGrid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contextualSpacing w:val="0"/>
              <w:ind w:left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Ссылка на сайт с техническими характеристиками либо технические характеристики инструмента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49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Общая зона конкурсной площадки (оборудование, инструмент, мебель)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Лента сигнальная клейкая для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разметки пола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Разметочная желто-черная лента, служит для нанесения разметки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Клин для контроля зазоров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Клин является технологическим оборудованием, предназначенным для к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онтроля зазоров между поверхностями, расстояние между которыми в точке контроля находится в диапазоне 0,5 – 15 мм. Цена деления шкалы - 0,5 мм, погрешность, не более ±0,2 мм, угол между рабочими гранями 5°45´±5, отклонение от плоскостности, не более 0,2 мм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Часы настенные электронные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Для измерения хронометража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Корзина для мусора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материал: металл, пластик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размеры (ВхД): на усмотрения организатора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особенности: перфорированный корпус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Мешки для мусора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Для сбора строительного мусора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Пластмассовые бочки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Пластмассовые бочки (3 бочки- с чистой водой, 3 бочки – пустые, для слива использованной воды)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Электронный штангенциркуль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Необходим для определения внутренних и внешних размеров и глубины.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Аптечка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бинты, лейкопластыри, напальчники, перекись и др.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85" w:firstLine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Огнетушитель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Бытовой огнетушитель, на усмотрение организатора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28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РАБОЧЕЕ МЕСТО УЧАСТНИКА КОНКУРСА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4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Подиум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Каркасная деревянная конструкция прямоугольной формы, обшитая ОСБ листами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или фанерой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1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Стол под оборудование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 усмотрение организатора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Стол рабочий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стол, гвоздимая и ровная поверхность.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Стул или табурет рабочий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 ножки, без подлокотников, прочный и водонепроницаемый.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5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Стол для нарезки обоев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 усмотрение организатора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49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Станок электрический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Напряжение, В 220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Расположение двигателя верхнее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Мощность, не менее Вт 1000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Водяное охлаждение подача в зону реза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Возможность реза под углом: 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27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Лобзик электрический с водяным охлаждением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Мощность: 150 Вт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Напряжение: 220 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2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Аккумуляторная дрель-шуруповерт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Емкость аккумулятора, не менее 1.3 А/ч; напряжение не менее 10.8 В; диапазон зажима цангового патрона, 1.5 – 13 мм; масса с аккумулятором от 1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Электромиксер для приготовления строительных растворов (дрель+венчик)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Миксер предназначен для перемешивания компонентов при получении различных строительных и отделочных материалов: бетона, штукатурки, клеев и т.д. Напряжение сети 220 Вольт, частота тока 50 Гц, мощность 1600 Вт, плавный пуск (да)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0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Пушка тепловая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Расход воздуха 130 м³/ч, термостат (есть), наличие сетевой вилки; напряжение 220 В, мощность при обогреве 2 кВт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8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Прожектора на штативе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Материал корпуса: алюминий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Тип лампы: светодиоды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Мощность светильника: 100 Вт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Элементы питания: сеть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Количество и напряжение элементов питания: 220В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br/>
              <w:t xml:space="preserve">Диапазон рабочего напряжения:220-240 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Средство подмащивания («стремянка»)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Алюминиевая стремянка отличается надежностью, безопасностью и устойчивостью. Лестница идеально подходит для проведения ремонтных, отделочных работ на высоте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26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Ручка телескопическая для валиков, 1,5-3 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Ручка телескопическая  используется совместно с валиком. Позволяет проводить покрасочные работы в сложных и труднодоступных местах без использования стремянки. Ручка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имеет коническую и резьбовую систему крепления, металлический корпус, пластиковую рукоятку. Регулировка по длине: 1.5-3 м.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Удлинитель, 5 розеток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Влагозащитный корпус, длина 10м, количество розеток 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Уровень строительный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Длина 1000 мм, погрешность  0,1-0,5 мм/м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Уровень строительный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Длина 2000 мм, погрешность  0,1-0,5 мм/м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5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Пластиковая емкость для мусора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Пластиковая емкость имеет толстые стенки, выдерживающие большие нагрузки. Форма способствует отличной устойчивости на поверхности.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6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Пластиковый круглый таз 40 л для раствора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Пластиковый круглый таз для растворов 40 л выполнен из прочного материала, поэтому его стенки выдерживают высокие нагрузки. Отлично подходит для приготовления большого количества строительных смесей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20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Ведро пластмассовое усиленное 20 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роительное пластмассовое ведро - ёмкость, предназначенная для строительных и отделочных работ. Конструкция устойчивая, выполнена из  высокопрочного пластика, оснащена металлической рукояткой для  удобной транспортировки и подвешивания, вмещает до 20 литров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3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Ведро пластмассовое 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объем 20л, пластмассовое 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Ведро пластиковое с крышкой для фасовки 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объем 5л, пластиковое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6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Щетка и совок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Щетка-сметка используется для сметания мелкого мусора. Совок для мусора с ручкой - ручное приспособление, предназначенное для сбора мусора.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6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Армированная пленка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защиты поверхности рабочего места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кв.м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5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Розетка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220 Вольт (2 кВт)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 (на 1 раб.место)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4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Блок влагозащитных розеток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Блок розеток (5 шт.) 220 вольт, влагозащитный, прорезиненный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Специальная защитная одежда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Одежда специальная для защиты от общих производственных загрязнений и механических воздействий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6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Рабочая обувь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металлический или композитный подносок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пара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органов дыхания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респиратор или фильтрующая полумаска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органов слуха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наушники или противошумные вкладыши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органов зрения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Очки защитные открытого типа, линза - поликарбонат, прозрачные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1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ног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Наколенники, тип воздействия - от статических нагрузок (от утомляемости)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пара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рук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Перчатки: материал основы - нейлон, материал покрытия - латекс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3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рук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Трикотажные перчатки, класс вязки 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1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СИЗ головы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Косынка, бейсболка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03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МОНТАЖ ГИПСОКАРТОННОЙ КОНСТРУКЦИИ НА ПОДИУМЕ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</w:tr>
      <w:tr>
        <w:tblPrEx/>
        <w:trPr>
          <w:trHeight w:val="303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Рабочее место Конкурсанта (основное оборудование, вспомогательное оборудование, инструмент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Плита ориентированно-стружечная (ОСБ)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или фанера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Толщина min=21 мм, длина 2440 мм, ширина 1220 мм, используется для изготовления подиума 1500Х1500мм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8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Бруски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Сечение 50*70 мм, длина 3000 мм, используются для изготовления подиума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Саморезы для гипсокартона по дереву Стандарт 4,8х90 мм черные (используются для монтажа подиума)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Саморезы по дереву  4,8х90 мм черные   Саморезы по дереву предназначены для крепления материалов к основанию без предварительного сверления. Основная область применения – крепление листов гипсокартона к деревянным конструкциям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Шурупы-саморезы по дереву  3,5*50 мм для сборки подиумов (используются для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монтажа подиума)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Длина: 50 мм; диаметр: 3.5 мм; наконечник: острый; покрытие: оксидированный; форма головки: потайная; наличие пресс-шайбы: 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6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Гипсо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картонный лист ГКЛ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2500*1200*12,5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u w:val="singl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ипсокартонный лист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(Г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КЛ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) - строительно-отделочный материал для облицовки стен, устройства перегородок, подвесных потолков. Длина 2500 мм, ширина 1200 мм, толщина 12,5 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Профиль стоечный ПС 50/50*3000, толщина металла 0,6 (Металлический профиль стоечный)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Металлический профиль ПС имеет С-образную форму и служит, как правило, в качестве вертикальных стоек каркасов для монтажа гипсокартонных перегородок и облицовок. Сечение 50x50 мм; длина 3000 мм; толщина металла 0,6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Профиль направляющий ПН 50/40*3000 (металлический профиль направляющий), толщина металла 0,6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Металлический профиль ПН имеет П-образную форму и служит в качестве направляющих элементов для стоечных профилей, для устройства перемычек между ними в каркасах перегородок и облицовок. Сечение 50x40 мм; длина: 3000 мм; толщина металла 0,6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Ножницы по металлу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Ножницы по металлу прямые,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резки металлических профилей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Струбцины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Конструкция быстросъемной струбцины состоит из металлической шины и двух пластиковых губок (подвижной и фиксированной). Тип - F-образня, быстрозажимная, ширина зажима 300-500 мм, мехаизм сжатия - рычажный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Комбинированные плоскогубцы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Плоскогубцы используется для монтажных или слесарных работах, для захвата и изгибания небольших металлических заготовок. Губки изготовлены из прочной углеродистой стали и прошли термообработку. Пластиковые ручки исключают скольжение инструмента в руке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 время работы.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Просекатель для металлического профиля под гипсокартон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Просекатель для металлического профиля под гипсокартон работа одной рукой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Скрепляемый материал гипсокартон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Рулетка компактная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Измерительная шкала сантиметры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, для измерения размеров конструкции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9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Лента бумажная армирующая шириной 50 мм, рулон 25 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Предназначена для армирования стыков гипсокартонных и гипсоволокнистых листов разных видов и с любыми типами кромок и предотвращения появления трещин при отделочных работах. Ширина: 50 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рулон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9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Шпаклёвка гипсовая для стыков ГКЛ, кг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Шпаклевка гипсовая универсальная предназначена для: заделки стыков гипсокартонных листов (ГКЛ) имеющих утонённую и полукруглую утонённую кромку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6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Шурупы-саморезы 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КЛ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-металл 3,5х25 мм (Шуруп самонарезающий прокалывающий TN)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Предназначен для крепления гипсокартонных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листов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каркасу из металлических профилей (толщина стенки до 0,7 мм), диаметр/ длина 3,5x25мм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6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Саморез ГКЛ-дерево 3,5х35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крепления ПС к подиуму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Шурупы-саморезы металл-металл  4,2* 13 мм (Шуруп самонарезающий прокалывающий LN)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Предназначен для крепления металлических профилей или листовых деталей  друг с другом (толщина до 0,7 мм)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Набор бит двусторонние 10 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пециальная насадка для шуруповёрта, дрели или отвёртки, предназначенная для работы с крепёжными изделиями.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Обдирочный рубанок, средний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Обдирочный рубанок используется для обработки гипсокартона, Длина подошвы, мм 140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Ширина ножа, мм 42Материал корпуса пластик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Угольник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разметки углов и проверки прямоугольности, а также взаимно перпендикулярного расположения деталей. Цельнометаллический. Шкала двусторонняя, крашеная. Материал: инструментальная сталь. (НЕ СТОЛЯРНЫЙ)- без утолщения в ручке!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Малярная лента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подготовительных работ, для фиксации разных элементов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6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Строительный карандаш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Строительный карандаш  используется для разметки в процессе строительных или малярных работ. Карандаш оснащен толстым грифелем, имеет специальную удобную форму и большую длину  (18 см)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1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Ветошь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Ветошь представляет собой лоскуты тканей. Используется как обтирочный материал. Размер лоскутов в среднем 40-60 см.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6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Перчатки прочные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Текстильные перчатки, область ладоней и пальцы покрыты латексом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53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ОБЛИЦОВКА ПОВЕРХНОСТИ ПЛИТКОЙ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</w:tr>
      <w:tr>
        <w:tblPrEx/>
        <w:trPr>
          <w:trHeight w:val="353"/>
        </w:trPr>
        <w:tc>
          <w:tcPr>
            <w:gridSpan w:val="5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Рабочее место Конкурсанта (основное оборудование, вспомогательное оборудование, инструмент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Опорная рейка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металлический профиль 60 мм х 27 мм х 3 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Струны для лобзиковой пилы Gemini Taurus 3 110V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Алмазное полотно для пилы Taurus 3, Стандарт, D=143мм, d=2мм, в к-те 2 напр. Ролика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Миксер-насадка для дрели из оцинкованной стали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Миксер из оцинкованной стали, D 60 мм, L 400 мм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Уровень магнитный, 400 мм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Уровень строительный 400 мм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глазков 3 шт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Длина 400 мм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Маркер перманентный нестираемый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Маркер перманентный нестираемый, ЧЕРНЫЙ, эргономич. корпус, круглый након. 2мм.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tabs>
                <w:tab w:val="left" w:pos="500" w:leader="none"/>
              </w:tabs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Нож со сменным лезвием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"Профессиональный нож предназначен для разрезания бумаги, картона и прочих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материалов. Он имеет металлический корпус, отличающийся надежностью и прочностью. Для работы используются лезвия из углеродистой стали шириной 18 мм, длиной 150 мм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tabs>
                <w:tab w:val="left" w:pos="500" w:leader="none"/>
              </w:tabs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Грунтовка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обработки поверхности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Шлифовальная лента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зернистость 120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Крестики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толщина 2 мм (200  шт в упак.)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упак.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Клей плиточный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Смесь цемента с минеральными наполнителями и модификаторами, 25-30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упак.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Грунтовка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Глубокого проникновения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литр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0,5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6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Штукатурка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Гипсовая(для выравнивания стенда), 25-30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мешок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0,5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Затирка для швов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Тип работ – внутренние эластичная, 2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Пластиковая посуда, 5 л для затирки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подготовки затирочного материала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Плитка керамическая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Керамическая глазурованнная настенная,  размер 200х200мм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Правило трапеция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контроля плоскости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Стеклорез масляный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ручной резки керамической плитки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2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Пластиковая посуда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Тара под сыпучие материалы, 5 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5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Пластиковая посуда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Тара под сыпучие материалы, 2 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Полиэтилен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характеристики на усмотрение организаторов, 150мк/200мк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рулон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Мешки для мусора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Строительные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3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5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18"/>
              </w:numPr>
              <w:contextualSpacing w:val="0"/>
              <w:ind w:left="445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Ветошь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1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Универсальная салфетка вискозная, размер не менее 300х300мм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284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Оценка конкурсного задания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Модуль А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Монтаж каркасно-обшивной конструкции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  <w:tab/>
        <w:br/>
        <w:t xml:space="preserve">Для точности замеров, оценка производится сразу после выполнения модуля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Оценка производится с применением следующих подкритериев и аспектов: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Измерение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точность выполненных расчетов;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точность резки ГСП;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Вертикальность /горизонтальность /углы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вертикальность конструкции;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перпендикулярность граней конструкции;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прямолинейность конструкции;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соотношение уровней конструкции;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Техническое соответствие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конкурсное задание должно быть выполнено в соответствии с чертежом и согласно описанию конкурсного задания;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ри выполнении конкурсного задания необходимо использовать компоненты и материалы, предусмотренные его условиями;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правильный шаг саморезов (расположение от нижнего края конструкции до первого самореза не менее 60 мм и не более 100 мм, по вертикальной поверхности (стене) не более 250 мм, по горизонтальной поверхности (потолку) не более 150 мм), при его наличии;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правильная глубина саморезов;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соблюдено расстояние между профилями;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чистота ГСП;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выполнение по отраслевым стандартам;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скрытые дефекты и нарушение технологии; 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•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охрана труда и организация рабочего пространства.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Работа участника Конкурса, нарушающего правила охраны труда, будет остановлена до момента устранения такого нарушения.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Оценке не подлежат элементы: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numPr>
          <w:ilvl w:val="0"/>
          <w:numId w:val="19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не обшитые ГСП;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numPr>
          <w:ilvl w:val="0"/>
          <w:numId w:val="19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незафиксированные (незакрепленные) должным образом металлические профили, отсутствуют шурупы самонарезающие при креплении плит и т.п. Измерения производятся по кромке ГСП (если иное не предусмотрено конкурсным заданием).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spacing w:after="0" w:afterAutospacing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br w:type="page" w:clear="all"/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75"/>
        <w:ind w:left="0" w:right="0" w:firstLine="0"/>
        <w:jc w:val="center"/>
        <w:spacing w:after="0" w:line="360" w:lineRule="auto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Примерные критерии оценивания по практической части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tbl>
      <w:tblPr>
        <w:tblpPr w:horzAnchor="text" w:tblpXSpec="left" w:vertAnchor="text" w:tblpY="1" w:leftFromText="180" w:topFromText="0" w:rightFromText="180" w:bottomFromText="0"/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47"/>
        <w:gridCol w:w="9087"/>
      </w:tblGrid>
      <w:tr>
        <w:tblPrEx/>
        <w:trPr>
          <w:trHeight w:val="759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Критерии 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ценивания по практической части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Модуль А. Монтаж каркасно-обшивной конструкции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Охрана труда и бережливое производство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Правильное использование спецодежды (экипировки) и СИЗ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По окончании работы отсутствуем мусор на рабочей площадке конкурсанта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По окончании работы инструмент чист и  убран в рабочее место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По окончании работы остатки материала организовано складированы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Организация рабочего пространства во время выполнения модуля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Качество монтажа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Качество монтажа стены А (стена оценивается с двух сторон)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vAlign w:val="bottom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Крепление и корректность стыков ГСП, фиксация  и шаг саморезов, расстояние профилей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vAlign w:val="bottom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Чистота, отсутствие царапин, отверстий, аккуратность обработка краев ГСП и проемов.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абота выполнена на уровне установленных требований,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соответствует производственному стандарту (Да/Нет).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Качество монтажа стены Б (стена оценивается с двух сторон)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vAlign w:val="bottom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Крепление и корректность стыков ГСП, фиксация  и шаг саморезов, расстояние профилей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vAlign w:val="bottom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Чистота, отсутствие царапин, отверстий, аккуратность обработка краев ГСП и проемов.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абота выполнена на уровне установленных требований,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соответствует производственному стандарту (Да/Нет)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Техническое соответствие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Соответсвие чертежу, описанию и заданной ориентации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А. Гипсокартон зафиксирован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А. Шаг саморезов. Расстояние между саморезами не более 250 мм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А.Саморезы зафиксированы на правильной глубине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Б. Гипсокартон зафиксирован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Б. Шаг саморезов. Расстояние между саморезами не более 250 мм 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Стена Б. Саморезы зафиксированы на правильной глубине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Измерение рулеткой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А. Высота стены А. Измерение по правому краю стены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А. Ширина стены А. Измерение 100 мм от верха стены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А. Расстояние от низа стены до проема. Измерение по середине  стены над проемом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Ширина стены Б. Измерение 100 мм от верха стены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Ширина  верхней ступени. Измерение по низу ступени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Ширина стены от выступа до правого края. Измерение по середине проема выступа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Высота нижней части ступени. Измерение по левому краю ступени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Высота стены. Измерение по правому краю стены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Вертикальность / Горизонтальность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A. 1  Вертикальность  стены A. Измерение по левой части стены. Уровень 2000 мм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A. 2  Горизонтальность  стены A. Измерение по середине толщины стены. Уровень 1200 мм.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3  Вертикальность стены Б.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 xml:space="preserve">Измерение по правой части стены. Уровень 2000 мм.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4  Горизонтальность стены Б. Измерение по середине толщины стены. Уровень 1200 мм.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Стена Б. 5  Вертикальность выреза справа.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 xml:space="preserve">Измерение по середине толщины торца проема. Уровень 800 мм.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  <w:t xml:space="preserve">Углы</w: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Верхний внутренний угол стен Б и А, Измерение 150 мм от верха конструкции</w: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Снаружи конструкции. Внешний угол. Измерение 300 мм от пола</w: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Внутренний угол между стеной А и Б. Измерение 1200 мм от пола</w: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Внутренний угол между стеной А и Б. Измерение по середине</w:t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Наружный угол. Измерение 1200 мм от пола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Модуль Б. Пояснение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Описать технологическую последовательность выполнения задания. Перечислить все операции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trHeight w:val="64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tcW w:w="908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Модуль В. Облицовка плиткой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Подготовка рабочей поверхности под облицовку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Использование СИЗ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Безопасная работа на станках и грамотное использование электроинструмента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Безопасная работа с ручным режущим инструментом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Подготовка основания под облицовку: Грунтовка нанесена на поверхность  под облицовку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Правильный выбор клея для облицовки поверхностей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Вертикальность подготовленной поверхности: Линия 1: Вычесть 0,2 балла за каждый мм отклонения, отклонение +/- 2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Вертикальность подготовленной поверхности: Линия 2: Вычесть 0,2 балла за каждый мм отклонения, отклонение +/- 2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Угол подготовленной поверхности. Линия 1: Вычесть 0,2 балла за каждый мм отклонения, отклонение +/- 2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Угол подготовленной поверхности. Линия 2: Вычесть 0,2 балла за каждый мм отклонения, отклонение +/- 2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Организация работы: Чистота рабочего места: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0 - Инструмент, материал (остатки) не убраны, грязно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1 - Инструмент, материал убран, но виден беспорядок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2 - Достаточно чисто, инструмент на месте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3 - Идеально чисто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Выполнение плиточных работ на вертикальной поверхности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Соблюдение охраны труда. Применение защ. очков, респиратора, перчаток. Не нарушены правила работы с  электроинструментом Не нарушены правила работы с ручным инструментом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резки плитки: Качество резки прямых линий: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0- Не выполнено в полном объеме, отсутствует плавность перехода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1- Отсутствуют острые углы, наличие сколов превышает 4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2- Количество сколов не более 4 мм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3- Сколов нет, плавный переход при резке обеспечен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– плоскость.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Линия 1 вычесть 10% за 1 мм ошибки (Замер выполняется при наличии всех фрагментов по линии)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– плоскость.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Линия 2 вычесть 10% за 1 мм ошибки (Замер выполняется при наличии всех фрагментов по линии)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– плоскость.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Линия 3 вычесть 10% за 1 мм ошибки (Замер выполняется при наличии всех фрагментов по линии)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– плоскость.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Линия 4 вычесть 10% за 1 мм ошибки (Замер выполняется при наличии всех фрагментов по линии)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- вертикальность рядов и поверхности Линия 1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- вертикальность рядов и поверхности Линия 2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- вертикальность рядов и поверхности Линия 3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vAlign w:val="center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Качество облицованной поверхности - вертикальность рядов и поверхности Линия 4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Точность размеров по проекту.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Размер 1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Точность размеров по проекту.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Размер 2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Точность размеров по проекту.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Размер 3 вычесть 10% за 1 мм ошибки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Точность размеров по проекту.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  <w:t xml:space="preserve">Размер 4 вычесть 10% за 1 мм ошибки 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Модуль  Г. Выполнение технологических отверстий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Соблюдение охраны труда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Использование СИЗ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Безопасная работа  и грамотное использование электроинструмента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97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Качество резки плитки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Резка коронкой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Сколы отсутствют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Привязка отверстия в соответствии с проектом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точка 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Привязка отверстия в соответствии с проектом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точка 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Привязка отверстия в соответствии с проектом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точка 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Модуль Д. Выполнение ремонта/замены плиток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Соблюдение охраны труда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Использование СИЗ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Применение защ. очков, респиратора на всех этапах работ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Качество облицованной поверхности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плоскость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точка 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Качество облицованной поверхности – плоскость точка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Затирка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Чистота плитки - нет клея, затирки и пыли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3"/>
        </w:trPr>
        <w:tc>
          <w:tcPr>
            <w:shd w:val="clear" w:color="ffffff" w:fill="ffffff"/>
            <w:tcW w:w="54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r>
          </w:p>
        </w:tc>
        <w:tc>
          <w:tcPr>
            <w:shd w:val="clear" w:color="ffffff" w:fill="ffffff"/>
            <w:tcW w:w="9087" w:type="dxa"/>
            <w:textDirection w:val="lrTb"/>
            <w:noWrap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Качество выполненной затирки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Все швы одинакового размера ( прямые и наклонные)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779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992" w:right="851" w:bottom="1134" w:left="1701" w:header="397" w:footer="39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NewRomanPSMT">
    <w:panose1 w:val="02020603050405020304"/>
  </w:font>
  <w:font w:name="Tahoma">
    <w:panose1 w:val="020B060403050404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jc w:val="center"/>
    </w:pPr>
    <w:r>
      <w:t xml:space="preserve">2026 год</w:t>
    </w:r>
    <w:r/>
  </w:p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13</w:t>
    </w:r>
    <w:r>
      <w:fldChar w:fldCharType="end"/>
    </w:r>
    <w:r/>
  </w:p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968"/>
      <w:tblW w:w="0" w:type="auto"/>
      <w:tblInd w:w="-147" w:type="dxa"/>
      <w:tblLook w:val="04A0" w:firstRow="1" w:lastRow="0" w:firstColumn="1" w:lastColumn="0" w:noHBand="0" w:noVBand="1"/>
    </w:tblPr>
    <w:tblGrid>
      <w:gridCol w:w="4819"/>
      <w:gridCol w:w="4673"/>
    </w:tblGrid>
    <w:tr>
      <w:tblPrEx/>
      <w:trPr>
        <w:trHeight w:val="1407"/>
      </w:trPr>
      <w:tc>
        <w:tcPr>
          <w:tcW w:w="4819" w:type="dxa"/>
          <w:textDirection w:val="lrTb"/>
          <w:noWrap w:val="false"/>
        </w:tcPr>
        <w:p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lang w:eastAsia="ru-RU"/>
            </w:rP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-358140</wp:posOffset>
                    </wp:positionH>
                    <wp:positionV relativeFrom="paragraph">
                      <wp:posOffset>-42545</wp:posOffset>
                    </wp:positionV>
                    <wp:extent cx="2581275" cy="865505"/>
                    <wp:effectExtent l="0" t="0" r="0" b="0"/>
                    <wp:wrapThrough wrapText="bothSides">
                      <wp:wrapPolygon edited="1">
                        <wp:start x="0" y="0"/>
                        <wp:lineTo x="0" y="20919"/>
                        <wp:lineTo x="21361" y="20919"/>
                        <wp:lineTo x="21361" y="0"/>
                        <wp:lineTo x="0" y="0"/>
                      </wp:wrapPolygon>
                    </wp:wrapThrough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73788480" name="Рисунок 473788480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2581275" cy="86550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z-index:251658240;o:allowoverlap:true;o:allowincell:true;mso-position-horizontal-relative:text;margin-left:-28.20pt;mso-position-horizontal:absolute;mso-position-vertical-relative:text;margin-top:-3.35pt;mso-position-vertical:absolute;width:203.25pt;height:68.15pt;mso-wrap-distance-left:9.00pt;mso-wrap-distance-top:0.00pt;mso-wrap-distance-right:9.00pt;mso-wrap-distance-bottom:0.00pt;" wrapcoords="0 0 0 96847 98894 96847 98894 0 0 0" stroked="false">
                    <v:path textboxrect="0,0,0,0"/>
                    <w10:wrap type="through"/>
                    <v:imagedata r:id="rId1" o:title="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  <w:tc>
        <w:tcPr>
          <w:tcW w:w="4673" w:type="dxa"/>
          <w:textDirection w:val="lrTb"/>
          <w:noWrap w:val="false"/>
        </w:tcPr>
        <w:p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Утверждено организационным комитетом по номинации</w:t>
          </w:r>
          <w:r>
            <w:rPr>
              <w:rFonts w:ascii="Times New Roman" w:hAnsi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</w:tc>
    </w:tr>
  </w:tbl>
  <w:p>
    <w:pPr>
      <w:pStyle w:val="970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55" w:hanging="360"/>
      </w:pPr>
      <w:rPr>
        <w:rFonts w:hint="default" w:ascii="Symbol" w:hAnsi="Symbol"/>
        <w:sz w:val="14"/>
      </w:rPr>
    </w:lvl>
    <w:lvl w:ilvl="1">
      <w:start w:val="1"/>
      <w:numFmt w:val="bullet"/>
      <w:isLgl w:val="false"/>
      <w:suff w:val="tab"/>
      <w:lvlText w:val="o"/>
      <w:lvlJc w:val="left"/>
      <w:pPr>
        <w:ind w:left="15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1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04" w:hanging="36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289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22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4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6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8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0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82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4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800" w:hanging="360"/>
      </w:pPr>
      <w:rPr>
        <w:rFonts w:hint="default" w:ascii="Arial" w:hAnsi="Aria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418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22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4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6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8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0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825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4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04" w:hanging="36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4"/>
  </w:num>
  <w:num w:numId="5">
    <w:abstractNumId w:val="13"/>
  </w:num>
  <w:num w:numId="6">
    <w:abstractNumId w:val="8"/>
  </w:num>
  <w:num w:numId="7">
    <w:abstractNumId w:val="0"/>
  </w:num>
  <w:num w:numId="8">
    <w:abstractNumId w:val="16"/>
  </w:num>
  <w:num w:numId="9">
    <w:abstractNumId w:val="14"/>
  </w:num>
  <w:num w:numId="10">
    <w:abstractNumId w:val="1"/>
  </w:num>
  <w:num w:numId="11">
    <w:abstractNumId w:val="9"/>
  </w:num>
  <w:num w:numId="12">
    <w:abstractNumId w:val="11"/>
  </w:num>
  <w:num w:numId="13">
    <w:abstractNumId w:val="12"/>
  </w:num>
  <w:num w:numId="14">
    <w:abstractNumId w:val="15"/>
  </w:num>
  <w:num w:numId="15">
    <w:abstractNumId w:val="5"/>
  </w:num>
  <w:num w:numId="16">
    <w:abstractNumId w:val="7"/>
  </w:num>
  <w:num w:numId="17">
    <w:abstractNumId w:val="2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3" w:default="1">
    <w:name w:val="Normal"/>
    <w:qFormat/>
  </w:style>
  <w:style w:type="paragraph" w:styleId="774">
    <w:name w:val="Heading 1"/>
    <w:basedOn w:val="773"/>
    <w:next w:val="773"/>
    <w:link w:val="80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75">
    <w:name w:val="Heading 2"/>
    <w:basedOn w:val="773"/>
    <w:next w:val="773"/>
    <w:link w:val="80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76">
    <w:name w:val="Heading 3"/>
    <w:basedOn w:val="773"/>
    <w:next w:val="773"/>
    <w:link w:val="8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77">
    <w:name w:val="Heading 4"/>
    <w:basedOn w:val="773"/>
    <w:next w:val="773"/>
    <w:link w:val="8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8">
    <w:name w:val="Heading 5"/>
    <w:basedOn w:val="773"/>
    <w:next w:val="773"/>
    <w:link w:val="8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9">
    <w:name w:val="Heading 6"/>
    <w:basedOn w:val="773"/>
    <w:next w:val="773"/>
    <w:link w:val="974"/>
    <w:unhideWhenUsed/>
    <w:qFormat/>
    <w:pPr>
      <w:spacing w:before="240" w:after="60" w:line="240" w:lineRule="auto"/>
      <w:outlineLvl w:val="5"/>
    </w:pPr>
    <w:rPr>
      <w:rFonts w:ascii="Calibri" w:hAnsi="Calibri" w:eastAsia="Times New Roman" w:cs="Times New Roman"/>
      <w:b/>
      <w:bCs/>
    </w:rPr>
  </w:style>
  <w:style w:type="paragraph" w:styleId="780">
    <w:name w:val="Heading 7"/>
    <w:basedOn w:val="773"/>
    <w:next w:val="773"/>
    <w:link w:val="8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81">
    <w:name w:val="Heading 8"/>
    <w:basedOn w:val="773"/>
    <w:next w:val="773"/>
    <w:link w:val="8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82">
    <w:name w:val="Heading 9"/>
    <w:basedOn w:val="773"/>
    <w:next w:val="773"/>
    <w:link w:val="8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3" w:default="1">
    <w:name w:val="Default Paragraph Font"/>
    <w:uiPriority w:val="1"/>
    <w:semiHidden/>
    <w:unhideWhenUsed/>
  </w:style>
  <w:style w:type="table" w:styleId="7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5" w:default="1">
    <w:name w:val="No List"/>
    <w:uiPriority w:val="99"/>
    <w:semiHidden/>
    <w:unhideWhenUsed/>
  </w:style>
  <w:style w:type="character" w:styleId="786" w:customStyle="1">
    <w:name w:val="Heading 1 Char"/>
    <w:basedOn w:val="783"/>
    <w:uiPriority w:val="9"/>
    <w:rPr>
      <w:rFonts w:ascii="Arial" w:hAnsi="Arial" w:eastAsia="Arial" w:cs="Arial"/>
      <w:sz w:val="40"/>
      <w:szCs w:val="40"/>
    </w:rPr>
  </w:style>
  <w:style w:type="character" w:styleId="787" w:customStyle="1">
    <w:name w:val="Heading 2 Char"/>
    <w:basedOn w:val="783"/>
    <w:uiPriority w:val="9"/>
    <w:rPr>
      <w:rFonts w:ascii="Arial" w:hAnsi="Arial" w:eastAsia="Arial" w:cs="Arial"/>
      <w:sz w:val="34"/>
    </w:rPr>
  </w:style>
  <w:style w:type="character" w:styleId="788" w:customStyle="1">
    <w:name w:val="Heading 3 Char"/>
    <w:basedOn w:val="783"/>
    <w:uiPriority w:val="9"/>
    <w:rPr>
      <w:rFonts w:ascii="Arial" w:hAnsi="Arial" w:eastAsia="Arial" w:cs="Arial"/>
      <w:sz w:val="30"/>
      <w:szCs w:val="30"/>
    </w:rPr>
  </w:style>
  <w:style w:type="character" w:styleId="789" w:customStyle="1">
    <w:name w:val="Heading 4 Char"/>
    <w:basedOn w:val="783"/>
    <w:uiPriority w:val="9"/>
    <w:rPr>
      <w:rFonts w:ascii="Arial" w:hAnsi="Arial" w:eastAsia="Arial" w:cs="Arial"/>
      <w:b/>
      <w:bCs/>
      <w:sz w:val="26"/>
      <w:szCs w:val="26"/>
    </w:rPr>
  </w:style>
  <w:style w:type="character" w:styleId="790" w:customStyle="1">
    <w:name w:val="Heading 5 Char"/>
    <w:basedOn w:val="783"/>
    <w:uiPriority w:val="9"/>
    <w:rPr>
      <w:rFonts w:ascii="Arial" w:hAnsi="Arial" w:eastAsia="Arial" w:cs="Arial"/>
      <w:b/>
      <w:bCs/>
      <w:sz w:val="24"/>
      <w:szCs w:val="24"/>
    </w:rPr>
  </w:style>
  <w:style w:type="character" w:styleId="791" w:customStyle="1">
    <w:name w:val="Heading 7 Char"/>
    <w:basedOn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Heading 8 Char"/>
    <w:basedOn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Heading 9 Char"/>
    <w:basedOn w:val="783"/>
    <w:uiPriority w:val="9"/>
    <w:rPr>
      <w:rFonts w:ascii="Arial" w:hAnsi="Arial" w:eastAsia="Arial" w:cs="Arial"/>
      <w:i/>
      <w:iCs/>
      <w:sz w:val="21"/>
      <w:szCs w:val="21"/>
    </w:rPr>
  </w:style>
  <w:style w:type="character" w:styleId="794" w:customStyle="1">
    <w:name w:val="Title Char"/>
    <w:basedOn w:val="783"/>
    <w:uiPriority w:val="10"/>
    <w:rPr>
      <w:sz w:val="48"/>
      <w:szCs w:val="48"/>
    </w:rPr>
  </w:style>
  <w:style w:type="character" w:styleId="795" w:customStyle="1">
    <w:name w:val="Subtitle Char"/>
    <w:basedOn w:val="783"/>
    <w:uiPriority w:val="11"/>
    <w:rPr>
      <w:sz w:val="24"/>
      <w:szCs w:val="24"/>
    </w:rPr>
  </w:style>
  <w:style w:type="character" w:styleId="796" w:customStyle="1">
    <w:name w:val="Quote Char"/>
    <w:uiPriority w:val="29"/>
    <w:rPr>
      <w:i/>
    </w:rPr>
  </w:style>
  <w:style w:type="character" w:styleId="797" w:customStyle="1">
    <w:name w:val="Intense Quote Char"/>
    <w:uiPriority w:val="30"/>
    <w:rPr>
      <w:i/>
    </w:rPr>
  </w:style>
  <w:style w:type="character" w:styleId="798" w:customStyle="1">
    <w:name w:val="Footnote Text Char"/>
    <w:uiPriority w:val="99"/>
    <w:rPr>
      <w:sz w:val="18"/>
    </w:rPr>
  </w:style>
  <w:style w:type="character" w:styleId="799" w:customStyle="1">
    <w:name w:val="Endnote Text Char"/>
    <w:uiPriority w:val="99"/>
    <w:rPr>
      <w:sz w:val="20"/>
    </w:rPr>
  </w:style>
  <w:style w:type="character" w:styleId="800" w:customStyle="1">
    <w:name w:val="Заголовок 1 Знак"/>
    <w:basedOn w:val="783"/>
    <w:link w:val="774"/>
    <w:uiPriority w:val="9"/>
    <w:rPr>
      <w:rFonts w:ascii="Arial" w:hAnsi="Arial" w:eastAsia="Arial" w:cs="Arial"/>
      <w:sz w:val="40"/>
      <w:szCs w:val="40"/>
    </w:rPr>
  </w:style>
  <w:style w:type="character" w:styleId="801" w:customStyle="1">
    <w:name w:val="Заголовок 2 Знак"/>
    <w:basedOn w:val="783"/>
    <w:link w:val="775"/>
    <w:uiPriority w:val="9"/>
    <w:rPr>
      <w:rFonts w:ascii="Arial" w:hAnsi="Arial" w:eastAsia="Arial" w:cs="Arial"/>
      <w:sz w:val="34"/>
    </w:rPr>
  </w:style>
  <w:style w:type="character" w:styleId="802" w:customStyle="1">
    <w:name w:val="Заголовок 3 Знак"/>
    <w:basedOn w:val="783"/>
    <w:link w:val="776"/>
    <w:uiPriority w:val="9"/>
    <w:rPr>
      <w:rFonts w:ascii="Arial" w:hAnsi="Arial" w:eastAsia="Arial" w:cs="Arial"/>
      <w:sz w:val="30"/>
      <w:szCs w:val="30"/>
    </w:rPr>
  </w:style>
  <w:style w:type="character" w:styleId="803" w:customStyle="1">
    <w:name w:val="Заголовок 4 Знак"/>
    <w:basedOn w:val="783"/>
    <w:link w:val="777"/>
    <w:uiPriority w:val="9"/>
    <w:rPr>
      <w:rFonts w:ascii="Arial" w:hAnsi="Arial" w:eastAsia="Arial" w:cs="Arial"/>
      <w:b/>
      <w:bCs/>
      <w:sz w:val="26"/>
      <w:szCs w:val="26"/>
    </w:rPr>
  </w:style>
  <w:style w:type="character" w:styleId="804" w:customStyle="1">
    <w:name w:val="Заголовок 5 Знак"/>
    <w:basedOn w:val="783"/>
    <w:link w:val="778"/>
    <w:uiPriority w:val="9"/>
    <w:rPr>
      <w:rFonts w:ascii="Arial" w:hAnsi="Arial" w:eastAsia="Arial" w:cs="Arial"/>
      <w:b/>
      <w:bCs/>
      <w:sz w:val="24"/>
      <w:szCs w:val="24"/>
    </w:rPr>
  </w:style>
  <w:style w:type="character" w:styleId="805" w:customStyle="1">
    <w:name w:val="Heading 6 Char"/>
    <w:basedOn w:val="783"/>
    <w:uiPriority w:val="9"/>
    <w:rPr>
      <w:rFonts w:ascii="Arial" w:hAnsi="Arial" w:eastAsia="Arial" w:cs="Arial"/>
      <w:b/>
      <w:bCs/>
      <w:sz w:val="22"/>
      <w:szCs w:val="22"/>
    </w:rPr>
  </w:style>
  <w:style w:type="character" w:styleId="806" w:customStyle="1">
    <w:name w:val="Заголовок 7 Знак"/>
    <w:basedOn w:val="783"/>
    <w:link w:val="7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7" w:customStyle="1">
    <w:name w:val="Заголовок 8 Знак"/>
    <w:basedOn w:val="783"/>
    <w:link w:val="781"/>
    <w:uiPriority w:val="9"/>
    <w:rPr>
      <w:rFonts w:ascii="Arial" w:hAnsi="Arial" w:eastAsia="Arial" w:cs="Arial"/>
      <w:i/>
      <w:iCs/>
      <w:sz w:val="22"/>
      <w:szCs w:val="22"/>
    </w:rPr>
  </w:style>
  <w:style w:type="character" w:styleId="808" w:customStyle="1">
    <w:name w:val="Заголовок 9 Знак"/>
    <w:basedOn w:val="783"/>
    <w:link w:val="782"/>
    <w:uiPriority w:val="9"/>
    <w:rPr>
      <w:rFonts w:ascii="Arial" w:hAnsi="Arial" w:eastAsia="Arial" w:cs="Arial"/>
      <w:i/>
      <w:iCs/>
      <w:sz w:val="21"/>
      <w:szCs w:val="21"/>
    </w:rPr>
  </w:style>
  <w:style w:type="paragraph" w:styleId="809">
    <w:name w:val="No Spacing"/>
    <w:uiPriority w:val="1"/>
    <w:qFormat/>
    <w:pPr>
      <w:spacing w:after="0" w:line="240" w:lineRule="auto"/>
    </w:pPr>
  </w:style>
  <w:style w:type="paragraph" w:styleId="810">
    <w:name w:val="Title"/>
    <w:basedOn w:val="773"/>
    <w:next w:val="773"/>
    <w:link w:val="811"/>
    <w:uiPriority w:val="10"/>
    <w:qFormat/>
    <w:pPr>
      <w:contextualSpacing/>
      <w:spacing w:before="300"/>
    </w:pPr>
    <w:rPr>
      <w:sz w:val="48"/>
      <w:szCs w:val="48"/>
    </w:rPr>
  </w:style>
  <w:style w:type="character" w:styleId="811" w:customStyle="1">
    <w:name w:val="Название Знак"/>
    <w:basedOn w:val="783"/>
    <w:link w:val="810"/>
    <w:uiPriority w:val="10"/>
    <w:rPr>
      <w:sz w:val="48"/>
      <w:szCs w:val="48"/>
    </w:rPr>
  </w:style>
  <w:style w:type="paragraph" w:styleId="812">
    <w:name w:val="Subtitle"/>
    <w:basedOn w:val="773"/>
    <w:next w:val="773"/>
    <w:link w:val="813"/>
    <w:uiPriority w:val="11"/>
    <w:qFormat/>
    <w:pPr>
      <w:spacing w:before="200"/>
    </w:pPr>
    <w:rPr>
      <w:sz w:val="24"/>
      <w:szCs w:val="24"/>
    </w:rPr>
  </w:style>
  <w:style w:type="character" w:styleId="813" w:customStyle="1">
    <w:name w:val="Подзаголовок Знак"/>
    <w:basedOn w:val="783"/>
    <w:link w:val="812"/>
    <w:uiPriority w:val="11"/>
    <w:rPr>
      <w:sz w:val="24"/>
      <w:szCs w:val="24"/>
    </w:rPr>
  </w:style>
  <w:style w:type="paragraph" w:styleId="814">
    <w:name w:val="Quote"/>
    <w:basedOn w:val="773"/>
    <w:next w:val="773"/>
    <w:link w:val="815"/>
    <w:uiPriority w:val="29"/>
    <w:qFormat/>
    <w:pPr>
      <w:ind w:left="720" w:right="720"/>
    </w:pPr>
    <w:rPr>
      <w:i/>
    </w:rPr>
  </w:style>
  <w:style w:type="character" w:styleId="815" w:customStyle="1">
    <w:name w:val="Цитата 2 Знак"/>
    <w:link w:val="814"/>
    <w:uiPriority w:val="29"/>
    <w:rPr>
      <w:i/>
    </w:rPr>
  </w:style>
  <w:style w:type="paragraph" w:styleId="816">
    <w:name w:val="Intense Quote"/>
    <w:basedOn w:val="773"/>
    <w:next w:val="773"/>
    <w:link w:val="8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7" w:customStyle="1">
    <w:name w:val="Выделенная цитата Знак"/>
    <w:link w:val="816"/>
    <w:uiPriority w:val="30"/>
    <w:rPr>
      <w:i/>
    </w:rPr>
  </w:style>
  <w:style w:type="character" w:styleId="818" w:customStyle="1">
    <w:name w:val="Header Char"/>
    <w:basedOn w:val="783"/>
    <w:uiPriority w:val="99"/>
  </w:style>
  <w:style w:type="character" w:styleId="819" w:customStyle="1">
    <w:name w:val="Footer Char"/>
    <w:basedOn w:val="783"/>
    <w:uiPriority w:val="99"/>
  </w:style>
  <w:style w:type="paragraph" w:styleId="820">
    <w:name w:val="Caption"/>
    <w:basedOn w:val="773"/>
    <w:next w:val="77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21" w:customStyle="1">
    <w:name w:val="Caption Char"/>
    <w:uiPriority w:val="99"/>
  </w:style>
  <w:style w:type="table" w:styleId="822" w:customStyle="1">
    <w:name w:val="Table Grid Light"/>
    <w:basedOn w:val="7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3" w:customStyle="1">
    <w:name w:val="Plain Table 1"/>
    <w:basedOn w:val="7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4" w:customStyle="1">
    <w:name w:val="Plain Table 2"/>
    <w:basedOn w:val="78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5" w:customStyle="1">
    <w:name w:val="Plain Table 3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6" w:customStyle="1">
    <w:name w:val="Plain Table 4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Plain Table 5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1 Light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4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0" w:customStyle="1">
    <w:name w:val="Grid Table 4 - Accent 1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1" w:customStyle="1">
    <w:name w:val="Grid Table 4 - Accent 2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2" w:customStyle="1">
    <w:name w:val="Grid Table 4 - Accent 3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3" w:customStyle="1">
    <w:name w:val="Grid Table 4 - Accent 4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4" w:customStyle="1">
    <w:name w:val="Grid Table 4 - Accent 5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5" w:customStyle="1">
    <w:name w:val="Grid Table 4 - Accent 6"/>
    <w:basedOn w:val="7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6" w:customStyle="1">
    <w:name w:val="Grid Table 5 Dark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6 Colorful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4" w:customStyle="1">
    <w:name w:val="Grid Table 6 Colorful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5" w:customStyle="1">
    <w:name w:val="Grid Table 6 Colorful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6" w:customStyle="1">
    <w:name w:val="Grid Table 6 Colorful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7" w:customStyle="1">
    <w:name w:val="Grid Table 6 Colorful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8" w:customStyle="1">
    <w:name w:val="Grid Table 6 Colorful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9" w:customStyle="1">
    <w:name w:val="Grid Table 6 Colorful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0" w:customStyle="1">
    <w:name w:val="Grid Table 7 Colorful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1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2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3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4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5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6"/>
    <w:basedOn w:val="7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1" w:customStyle="1">
    <w:name w:val="List Table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5 Dark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6 Colorful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3" w:customStyle="1">
    <w:name w:val="List Table 6 Colorful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4" w:customStyle="1">
    <w:name w:val="List Table 6 Colorful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5" w:customStyle="1">
    <w:name w:val="List Table 6 Colorful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6" w:customStyle="1">
    <w:name w:val="List Table 6 Colorful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7" w:customStyle="1">
    <w:name w:val="List Table 6 Colorful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8" w:customStyle="1">
    <w:name w:val="List Table 6 Colorful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9" w:customStyle="1">
    <w:name w:val="List Table 7 Colorful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ned - Accent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7" w:customStyle="1">
    <w:name w:val="Lined - Accent 1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8" w:customStyle="1">
    <w:name w:val="Lined - Accent 2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9" w:customStyle="1">
    <w:name w:val="Lined - Accent 3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0" w:customStyle="1">
    <w:name w:val="Lined - Accent 4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1" w:customStyle="1">
    <w:name w:val="Lined - Accent 5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2" w:customStyle="1">
    <w:name w:val="Lined - Accent 6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3" w:customStyle="1">
    <w:name w:val="Bordered &amp; Lined - Accent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4" w:customStyle="1">
    <w:name w:val="Bordered &amp; Lined - Accent 1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5" w:customStyle="1">
    <w:name w:val="Bordered &amp; Lined - Accent 2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6" w:customStyle="1">
    <w:name w:val="Bordered &amp; Lined - Accent 3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7" w:customStyle="1">
    <w:name w:val="Bordered &amp; Lined - Accent 4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8" w:customStyle="1">
    <w:name w:val="Bordered &amp; Lined - Accent 5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9" w:customStyle="1">
    <w:name w:val="Bordered &amp; Lined - Accent 6"/>
    <w:basedOn w:val="7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0" w:customStyle="1">
    <w:name w:val="Bordered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1" w:customStyle="1">
    <w:name w:val="Bordered - Accent 1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2" w:customStyle="1">
    <w:name w:val="Bordered - Accent 2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3" w:customStyle="1">
    <w:name w:val="Bordered - Accent 3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4" w:customStyle="1">
    <w:name w:val="Bordered - Accent 4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5" w:customStyle="1">
    <w:name w:val="Bordered - Accent 5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6" w:customStyle="1">
    <w:name w:val="Bordered - Accent 6"/>
    <w:basedOn w:val="7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7">
    <w:name w:val="footnote text"/>
    <w:basedOn w:val="773"/>
    <w:link w:val="948"/>
    <w:uiPriority w:val="99"/>
    <w:semiHidden/>
    <w:unhideWhenUsed/>
    <w:pPr>
      <w:spacing w:after="40" w:line="240" w:lineRule="auto"/>
    </w:pPr>
    <w:rPr>
      <w:sz w:val="18"/>
    </w:rPr>
  </w:style>
  <w:style w:type="character" w:styleId="948" w:customStyle="1">
    <w:name w:val="Текст сноски Знак"/>
    <w:link w:val="947"/>
    <w:uiPriority w:val="99"/>
    <w:rPr>
      <w:sz w:val="18"/>
    </w:rPr>
  </w:style>
  <w:style w:type="character" w:styleId="949">
    <w:name w:val="footnote reference"/>
    <w:basedOn w:val="783"/>
    <w:uiPriority w:val="99"/>
    <w:unhideWhenUsed/>
    <w:rPr>
      <w:vertAlign w:val="superscript"/>
    </w:rPr>
  </w:style>
  <w:style w:type="paragraph" w:styleId="950">
    <w:name w:val="endnote text"/>
    <w:basedOn w:val="773"/>
    <w:link w:val="951"/>
    <w:uiPriority w:val="99"/>
    <w:semiHidden/>
    <w:unhideWhenUsed/>
    <w:pPr>
      <w:spacing w:after="0" w:line="240" w:lineRule="auto"/>
    </w:pPr>
    <w:rPr>
      <w:sz w:val="20"/>
    </w:rPr>
  </w:style>
  <w:style w:type="character" w:styleId="951" w:customStyle="1">
    <w:name w:val="Текст концевой сноски Знак"/>
    <w:link w:val="950"/>
    <w:uiPriority w:val="99"/>
    <w:rPr>
      <w:sz w:val="20"/>
    </w:rPr>
  </w:style>
  <w:style w:type="character" w:styleId="952">
    <w:name w:val="endnote reference"/>
    <w:basedOn w:val="783"/>
    <w:uiPriority w:val="99"/>
    <w:semiHidden/>
    <w:unhideWhenUsed/>
    <w:rPr>
      <w:vertAlign w:val="superscript"/>
    </w:rPr>
  </w:style>
  <w:style w:type="paragraph" w:styleId="953">
    <w:name w:val="toc 1"/>
    <w:basedOn w:val="773"/>
    <w:next w:val="773"/>
    <w:uiPriority w:val="39"/>
    <w:unhideWhenUsed/>
    <w:pPr>
      <w:spacing w:after="57"/>
    </w:pPr>
  </w:style>
  <w:style w:type="paragraph" w:styleId="954">
    <w:name w:val="toc 2"/>
    <w:basedOn w:val="773"/>
    <w:next w:val="773"/>
    <w:uiPriority w:val="39"/>
    <w:unhideWhenUsed/>
    <w:pPr>
      <w:ind w:left="283"/>
      <w:spacing w:after="57"/>
    </w:pPr>
  </w:style>
  <w:style w:type="paragraph" w:styleId="955">
    <w:name w:val="toc 3"/>
    <w:basedOn w:val="773"/>
    <w:next w:val="773"/>
    <w:uiPriority w:val="39"/>
    <w:unhideWhenUsed/>
    <w:pPr>
      <w:ind w:left="567"/>
      <w:spacing w:after="57"/>
    </w:pPr>
  </w:style>
  <w:style w:type="paragraph" w:styleId="956">
    <w:name w:val="toc 4"/>
    <w:basedOn w:val="773"/>
    <w:next w:val="773"/>
    <w:uiPriority w:val="39"/>
    <w:unhideWhenUsed/>
    <w:pPr>
      <w:ind w:left="850"/>
      <w:spacing w:after="57"/>
    </w:pPr>
  </w:style>
  <w:style w:type="paragraph" w:styleId="957">
    <w:name w:val="toc 5"/>
    <w:basedOn w:val="773"/>
    <w:next w:val="773"/>
    <w:uiPriority w:val="39"/>
    <w:unhideWhenUsed/>
    <w:pPr>
      <w:ind w:left="1134"/>
      <w:spacing w:after="57"/>
    </w:pPr>
  </w:style>
  <w:style w:type="paragraph" w:styleId="958">
    <w:name w:val="toc 6"/>
    <w:basedOn w:val="773"/>
    <w:next w:val="773"/>
    <w:uiPriority w:val="39"/>
    <w:unhideWhenUsed/>
    <w:pPr>
      <w:ind w:left="1417"/>
      <w:spacing w:after="57"/>
    </w:pPr>
  </w:style>
  <w:style w:type="paragraph" w:styleId="959">
    <w:name w:val="toc 7"/>
    <w:basedOn w:val="773"/>
    <w:next w:val="773"/>
    <w:uiPriority w:val="39"/>
    <w:unhideWhenUsed/>
    <w:pPr>
      <w:ind w:left="1701"/>
      <w:spacing w:after="57"/>
    </w:pPr>
  </w:style>
  <w:style w:type="paragraph" w:styleId="960">
    <w:name w:val="toc 8"/>
    <w:basedOn w:val="773"/>
    <w:next w:val="773"/>
    <w:uiPriority w:val="39"/>
    <w:unhideWhenUsed/>
    <w:pPr>
      <w:ind w:left="1984"/>
      <w:spacing w:after="57"/>
    </w:pPr>
  </w:style>
  <w:style w:type="paragraph" w:styleId="961">
    <w:name w:val="toc 9"/>
    <w:basedOn w:val="773"/>
    <w:next w:val="773"/>
    <w:uiPriority w:val="39"/>
    <w:unhideWhenUsed/>
    <w:pPr>
      <w:ind w:left="2268"/>
      <w:spacing w:after="57"/>
    </w:pPr>
  </w:style>
  <w:style w:type="paragraph" w:styleId="962">
    <w:name w:val="TOC Heading"/>
    <w:uiPriority w:val="39"/>
    <w:unhideWhenUsed/>
  </w:style>
  <w:style w:type="paragraph" w:styleId="963">
    <w:name w:val="table of figures"/>
    <w:basedOn w:val="773"/>
    <w:next w:val="773"/>
    <w:uiPriority w:val="99"/>
    <w:unhideWhenUsed/>
    <w:pPr>
      <w:spacing w:after="0"/>
    </w:pPr>
  </w:style>
  <w:style w:type="character" w:styleId="964">
    <w:name w:val="Hyperlink"/>
    <w:basedOn w:val="783"/>
    <w:uiPriority w:val="99"/>
    <w:unhideWhenUsed/>
    <w:rPr>
      <w:color w:val="0000ff" w:themeColor="hyperlink"/>
      <w:u w:val="single"/>
    </w:rPr>
  </w:style>
  <w:style w:type="paragraph" w:styleId="965">
    <w:name w:val="Balloon Text"/>
    <w:basedOn w:val="773"/>
    <w:link w:val="9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6" w:customStyle="1">
    <w:name w:val="Текст выноски Знак"/>
    <w:basedOn w:val="783"/>
    <w:link w:val="965"/>
    <w:uiPriority w:val="99"/>
    <w:semiHidden/>
    <w:rPr>
      <w:rFonts w:ascii="Tahoma" w:hAnsi="Tahoma" w:cs="Tahoma"/>
      <w:sz w:val="16"/>
      <w:szCs w:val="16"/>
    </w:rPr>
  </w:style>
  <w:style w:type="paragraph" w:styleId="967">
    <w:name w:val="Revision"/>
    <w:hidden/>
    <w:uiPriority w:val="99"/>
    <w:semiHidden/>
    <w:pPr>
      <w:spacing w:after="0" w:line="240" w:lineRule="auto"/>
    </w:pPr>
  </w:style>
  <w:style w:type="table" w:styleId="968">
    <w:name w:val="Table Grid"/>
    <w:basedOn w:val="78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9">
    <w:name w:val="Normal (Web)"/>
    <w:basedOn w:val="77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70">
    <w:name w:val="Header"/>
    <w:basedOn w:val="77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783"/>
    <w:link w:val="970"/>
    <w:uiPriority w:val="99"/>
  </w:style>
  <w:style w:type="paragraph" w:styleId="972">
    <w:name w:val="Footer"/>
    <w:basedOn w:val="77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783"/>
    <w:link w:val="972"/>
    <w:uiPriority w:val="99"/>
  </w:style>
  <w:style w:type="character" w:styleId="974" w:customStyle="1">
    <w:name w:val="Заголовок 6 Знак"/>
    <w:basedOn w:val="783"/>
    <w:link w:val="779"/>
    <w:rPr>
      <w:rFonts w:ascii="Calibri" w:hAnsi="Calibri" w:eastAsia="Times New Roman" w:cs="Times New Roman"/>
      <w:b/>
      <w:bCs/>
    </w:rPr>
  </w:style>
  <w:style w:type="paragraph" w:styleId="975">
    <w:name w:val="List Paragraph"/>
    <w:basedOn w:val="773"/>
    <w:uiPriority w:val="34"/>
    <w:qFormat/>
    <w:pPr>
      <w:contextualSpacing/>
      <w:ind w:left="720"/>
    </w:pPr>
  </w:style>
  <w:style w:type="paragraph" w:styleId="976" w:customStyle="1">
    <w:name w:val="Обычный1"/>
    <w:pPr>
      <w:spacing w:after="160" w:line="25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  <w:lang w:eastAsia="ru-RU"/>
    </w:rPr>
  </w:style>
  <w:style w:type="character" w:styleId="977" w:customStyle="1">
    <w:name w:val="fontstyle21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78" w:customStyle="1">
    <w:name w:val="c1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9" w:customStyle="1">
    <w:name w:val="fontstyle01"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4EF25-C6D3-4889-9A06-D15DD89DC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Башкирова</dc:creator>
  <cp:revision>5</cp:revision>
  <dcterms:created xsi:type="dcterms:W3CDTF">2026-03-27T10:39:00Z</dcterms:created>
  <dcterms:modified xsi:type="dcterms:W3CDTF">2026-04-04T08:29:23Z</dcterms:modified>
</cp:coreProperties>
</file>