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D20" w:rsidRPr="006E1D20" w:rsidRDefault="006E1D20" w:rsidP="006E1D20">
      <w:pPr>
        <w:shd w:val="clear" w:color="auto" w:fill="FFFFFF"/>
        <w:spacing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589B"/>
          <w:kern w:val="36"/>
          <w:sz w:val="30"/>
          <w:szCs w:val="30"/>
          <w:lang w:eastAsia="ru-RU"/>
        </w:rPr>
      </w:pPr>
      <w:r w:rsidRPr="006E1D20">
        <w:rPr>
          <w:rFonts w:ascii="Montserrat" w:eastAsia="Times New Roman" w:hAnsi="Montserrat" w:cs="Times New Roman"/>
          <w:b/>
          <w:bCs/>
          <w:color w:val="00589B"/>
          <w:kern w:val="36"/>
          <w:sz w:val="30"/>
          <w:szCs w:val="30"/>
          <w:lang w:eastAsia="ru-RU"/>
        </w:rPr>
        <w:t>Распоряжение Правительства РФ от 19.11.2024 N 3333-р &lt;Об утверждении комплексного плана мероприятий по повышению качества математического и естественно-научного образования на период до 2030 года&gt;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0" w:name="100001"/>
      <w:bookmarkEnd w:id="0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ПРАВИТЕЛЬСТВО РОССИЙСКОЙ ФЕДЕРАЦИИ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1" w:name="100002"/>
      <w:bookmarkEnd w:id="1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РАСПОРЯЖЕНИЕ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от 19 ноября 2024 г. N 3333-р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2" w:name="100003"/>
      <w:bookmarkEnd w:id="2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 Утвердить прилагаемый комплексный </w:t>
      </w:r>
      <w:hyperlink r:id="rId5" w:anchor="100011" w:history="1">
        <w:r w:rsidRPr="006E1D20">
          <w:rPr>
            <w:rFonts w:ascii="Arial" w:eastAsia="Times New Roman" w:hAnsi="Arial" w:cs="Arial"/>
            <w:color w:val="4272D7"/>
            <w:sz w:val="24"/>
            <w:szCs w:val="24"/>
            <w:u w:val="single"/>
            <w:lang w:eastAsia="ru-RU"/>
          </w:rPr>
          <w:t>план</w:t>
        </w:r>
      </w:hyperlink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мероприятий по повышению качества математического и естественно-научного образования на период до 2030 года (далее - план).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3" w:name="100004"/>
      <w:bookmarkEnd w:id="3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 Федеральным органам исполнительной власти, ответственным за реализацию мероприятий </w:t>
      </w:r>
      <w:hyperlink r:id="rId6" w:anchor="100011" w:history="1">
        <w:r w:rsidRPr="006E1D20">
          <w:rPr>
            <w:rFonts w:ascii="Arial" w:eastAsia="Times New Roman" w:hAnsi="Arial" w:cs="Arial"/>
            <w:color w:val="4272D7"/>
            <w:sz w:val="24"/>
            <w:szCs w:val="24"/>
            <w:u w:val="single"/>
            <w:lang w:eastAsia="ru-RU"/>
          </w:rPr>
          <w:t>плана</w:t>
        </w:r>
      </w:hyperlink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: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4" w:name="100005"/>
      <w:bookmarkEnd w:id="4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осуществлять реализацию мероприятий </w:t>
      </w:r>
      <w:hyperlink r:id="rId7" w:anchor="100011" w:history="1">
        <w:r w:rsidRPr="006E1D20">
          <w:rPr>
            <w:rFonts w:ascii="Arial" w:eastAsia="Times New Roman" w:hAnsi="Arial" w:cs="Arial"/>
            <w:color w:val="4272D7"/>
            <w:sz w:val="24"/>
            <w:szCs w:val="24"/>
            <w:u w:val="single"/>
            <w:lang w:eastAsia="ru-RU"/>
          </w:rPr>
          <w:t>плана</w:t>
        </w:r>
      </w:hyperlink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в пределах бюджетных ассигнований, предусмотренных им в федеральном бюджете на соответствующий финансовый год;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5" w:name="100006"/>
      <w:bookmarkEnd w:id="5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ежегодно, до 1 февраля года, следующего за отчетным периодом, представлять в Минпросвещения России информацию о ходе реализации мероприятий </w:t>
      </w:r>
      <w:hyperlink r:id="rId8" w:anchor="100011" w:history="1">
        <w:r w:rsidRPr="006E1D20">
          <w:rPr>
            <w:rFonts w:ascii="Arial" w:eastAsia="Times New Roman" w:hAnsi="Arial" w:cs="Arial"/>
            <w:color w:val="4272D7"/>
            <w:sz w:val="24"/>
            <w:szCs w:val="24"/>
            <w:u w:val="single"/>
            <w:lang w:eastAsia="ru-RU"/>
          </w:rPr>
          <w:t>плана</w:t>
        </w:r>
      </w:hyperlink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6" w:name="100007"/>
      <w:bookmarkEnd w:id="6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 Минпросвещения России ежегодно, до 1 марта года, следующего за отчетным периодом, представлять в Правительство Российской Федерации доклад о ходе реализации </w:t>
      </w:r>
      <w:hyperlink r:id="rId9" w:anchor="100011" w:history="1">
        <w:r w:rsidRPr="006E1D20">
          <w:rPr>
            <w:rFonts w:ascii="Arial" w:eastAsia="Times New Roman" w:hAnsi="Arial" w:cs="Arial"/>
            <w:color w:val="4272D7"/>
            <w:sz w:val="24"/>
            <w:szCs w:val="24"/>
            <w:u w:val="single"/>
            <w:lang w:eastAsia="ru-RU"/>
          </w:rPr>
          <w:t>плана</w:t>
        </w:r>
      </w:hyperlink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7" w:name="100008"/>
      <w:bookmarkEnd w:id="7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4. Рекомендовать исполнительным органам субъектов Российской Федерации обеспечить реализацию мероприятий </w:t>
      </w:r>
      <w:hyperlink r:id="rId10" w:anchor="100011" w:history="1">
        <w:r w:rsidRPr="006E1D20">
          <w:rPr>
            <w:rFonts w:ascii="Arial" w:eastAsia="Times New Roman" w:hAnsi="Arial" w:cs="Arial"/>
            <w:color w:val="4272D7"/>
            <w:sz w:val="24"/>
            <w:szCs w:val="24"/>
            <w:u w:val="single"/>
            <w:lang w:eastAsia="ru-RU"/>
          </w:rPr>
          <w:t>плана</w:t>
        </w:r>
      </w:hyperlink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и руководствоваться </w:t>
      </w:r>
      <w:hyperlink r:id="rId11" w:anchor="100011" w:history="1">
        <w:r w:rsidRPr="006E1D20">
          <w:rPr>
            <w:rFonts w:ascii="Arial" w:eastAsia="Times New Roman" w:hAnsi="Arial" w:cs="Arial"/>
            <w:color w:val="4272D7"/>
            <w:sz w:val="24"/>
            <w:szCs w:val="24"/>
            <w:u w:val="single"/>
            <w:lang w:eastAsia="ru-RU"/>
          </w:rPr>
          <w:t>планом</w:t>
        </w:r>
      </w:hyperlink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при разработке региональных планов мероприятий по повышению качества математического и естественно-научного образования.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8" w:name="100009"/>
      <w:bookmarkEnd w:id="8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Председатель Правительства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Российской Федерации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М.МИШУСТИН</w:t>
      </w:r>
    </w:p>
    <w:p w:rsidR="006E1D20" w:rsidRPr="006E1D20" w:rsidRDefault="006E1D20" w:rsidP="006E1D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ar(--bs-font-monospace)" w:eastAsia="Times New Roman" w:hAnsi="var(--bs-font-monospace)" w:cs="Courier New"/>
          <w:color w:val="212529"/>
          <w:sz w:val="21"/>
          <w:szCs w:val="21"/>
          <w:lang w:eastAsia="ru-RU"/>
        </w:rPr>
      </w:pPr>
    </w:p>
    <w:p w:rsidR="006E1D20" w:rsidRPr="006E1D20" w:rsidRDefault="006E1D20" w:rsidP="006E1D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ar(--bs-font-monospace)" w:eastAsia="Times New Roman" w:hAnsi="var(--bs-font-monospace)" w:cs="Courier New"/>
          <w:color w:val="212529"/>
          <w:sz w:val="21"/>
          <w:szCs w:val="21"/>
          <w:lang w:eastAsia="ru-RU"/>
        </w:rPr>
      </w:pPr>
    </w:p>
    <w:p w:rsidR="006E1D20" w:rsidRPr="006E1D20" w:rsidRDefault="006E1D20" w:rsidP="006E1D2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ar(--bs-font-monospace)" w:eastAsia="Times New Roman" w:hAnsi="var(--bs-font-monospace)" w:cs="Courier New"/>
          <w:color w:val="212529"/>
          <w:sz w:val="21"/>
          <w:szCs w:val="21"/>
          <w:lang w:eastAsia="ru-RU"/>
        </w:rPr>
      </w:pP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9" w:name="100010"/>
      <w:bookmarkEnd w:id="9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Утвержден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распоряжением Правительства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Российской Федерации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righ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от 19 ноября 2024 г. N 3333-р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10" w:name="100011"/>
      <w:bookmarkEnd w:id="10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КОМПЛЕКСНЫЙ ПЛАН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МЕРОПРИЯТИЙ ПО ПОВЫШЕНИЮ КАЧЕСТВА МАТЕМАТИЧЕСКОГО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И ЕСТЕСТВЕННО-НАУЧНОГО ОБРАЗОВАНИЯ НА ПЕРИОД ДО 2030 ГОДА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11" w:name="100012"/>
      <w:bookmarkEnd w:id="11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1. Задачи комплексного плана мероприятий по повышению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качества математического и естественно-научного образования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 период до 2030 года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12" w:name="100013"/>
      <w:bookmarkEnd w:id="12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Задачами комплексного плана мероприятий по повышению качества математического и естественно-научного образования на период до 2030 года (далее - комплексный план) являются: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13" w:name="100014"/>
      <w:bookmarkEnd w:id="13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повышение качества преподавания математики и естественно-научных предметов в государственных и муниципальных общеобразовательных организациях;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14" w:name="100015"/>
      <w:bookmarkEnd w:id="14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повышение качества подготовки учителей математики и естественно-научных предметов;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15" w:name="100016"/>
      <w:bookmarkEnd w:id="15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устранение дефицита учителей математики и естественно-научных предметов в государственных и муниципальных общеобразовательных организациях.</w:t>
      </w:r>
    </w:p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16" w:name="100017"/>
      <w:bookmarkEnd w:id="16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2. Показатели реализации комплексного плана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"/>
        <w:gridCol w:w="4299"/>
        <w:gridCol w:w="1388"/>
        <w:gridCol w:w="3334"/>
      </w:tblGrid>
      <w:tr w:rsidR="006E1D20" w:rsidRPr="006E1D20" w:rsidTr="006E1D20"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" w:name="100018"/>
            <w:bookmarkEnd w:id="1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" w:name="100019"/>
            <w:bookmarkEnd w:id="1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" w:name="100020"/>
            <w:bookmarkEnd w:id="1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" w:name="100021"/>
            <w:bookmarkEnd w:id="2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" w:name="100022"/>
            <w:bookmarkEnd w:id="2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Увеличено не менее чем на 10 процентов ежегодно количество обучающихся по образовательным программам основного общего и среднего общего образования, изучающих математику и естественно-научные предметы углубленно или на профильном уровне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" w:name="100023"/>
            <w:bookmarkEnd w:id="2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3" w:name="100024"/>
            <w:bookmarkEnd w:id="2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4" w:name="100025"/>
            <w:bookmarkEnd w:id="2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5" w:name="100026"/>
            <w:bookmarkEnd w:id="2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Обеспечено повышение квалификации на базе ведущих классических, инженерно-технических образовательных организаций высшего образования и научных организаций, в том числе в форме стажировок, работающих в системе общего и среднего профессионального образования не менее 10000 учителей (преподавателей) математики, физики, химии и биологии по преподаваемому учебному предмету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6" w:name="100027"/>
            <w:bookmarkEnd w:id="2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7" w:name="100028"/>
            <w:bookmarkEnd w:id="2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федеральное государственное бюджетное образовательное учреждение высшего образования "Московский государственный университет имени М.В.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8" w:name="100029"/>
            <w:bookmarkEnd w:id="2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9" w:name="100030"/>
            <w:bookmarkEnd w:id="2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Обеспечено повышение квалификации в соответствующей предметной области не менее 1000 преподавателей математических и естественно-научных дисциплин образовательных организаций высшего образования, реализующих образовательные программы высшего образования в области образования и педагогики,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0" w:name="100031"/>
            <w:bookmarkEnd w:id="3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1" w:name="100032"/>
            <w:bookmarkEnd w:id="3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2" w:name="100033"/>
            <w:bookmarkEnd w:id="3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3" w:name="100034"/>
            <w:bookmarkEnd w:id="3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Введено обязательное вступительное испытание по физике при приеме на все инженерные направления подготовки (специальности) высшего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4" w:name="100035"/>
            <w:bookmarkEnd w:id="3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5" w:name="100036"/>
            <w:bookmarkEnd w:id="3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6" w:name="100037"/>
            <w:bookmarkEnd w:id="3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7" w:name="100038"/>
            <w:bookmarkEnd w:id="3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Введены обязательные вступительные испытания по профилям педагогической подготовки, в том числе по математике, физике, химии и биологии, при приеме на направления подготовки (специальности) высшего образования в области образования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и педагогики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8" w:name="100039"/>
            <w:bookmarkEnd w:id="3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2027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39" w:name="100040"/>
            <w:bookmarkEnd w:id="3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0" w:name="100041"/>
            <w:bookmarkEnd w:id="4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1" w:name="100042"/>
            <w:bookmarkEnd w:id="4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Создано в каждом федеральном округе на базе передовых общеобразовательных организаций не менее 1 стажировочной площадки для практической подготовки студентов и дополнительного профессионального образования учителей математики, физики, химии и биологии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2" w:name="100043"/>
            <w:bookmarkEnd w:id="4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3" w:name="100044"/>
            <w:bookmarkEnd w:id="4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4" w:name="100045"/>
            <w:bookmarkEnd w:id="4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5" w:name="100046"/>
            <w:bookmarkEnd w:id="4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Обеспечена возможность получить бесплатно дополнительную педагогическую квалификацию всем студентам, обучающимся по образовательным программам высшего образования в области математики, естественных и инженерно-технических наук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6" w:name="100047"/>
            <w:bookmarkEnd w:id="4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7" w:name="100048"/>
            <w:bookmarkEnd w:id="4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образовательные организации высшего образования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8" w:name="100049"/>
            <w:bookmarkEnd w:id="4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49" w:name="100050"/>
            <w:bookmarkEnd w:id="4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Увеличена до 35 процентов доля выбравших единый государственный экзамен по профильной математике и естественно-научным предметам (химии, физике, информатике и биологии)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(по сравнению с 2023 годом)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0" w:name="100051"/>
            <w:bookmarkEnd w:id="5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1" w:name="100052"/>
            <w:bookmarkEnd w:id="5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Рособрнадзор,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2" w:name="100053"/>
            <w:bookmarkEnd w:id="5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3" w:name="100054"/>
            <w:bookmarkEnd w:id="5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Увеличена до 30 процентов доля учителей математики, физики, химии и биологии в возрасте до 35 лет (по сравнению с 2023 годом)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4" w:name="100055"/>
            <w:bookmarkEnd w:id="5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5" w:name="100056"/>
            <w:bookmarkEnd w:id="5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6" w:name="100057"/>
            <w:bookmarkEnd w:id="5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7" w:name="100058"/>
            <w:bookmarkEnd w:id="5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Увеличено к 2030 году количество договоров о целевом обучении, заключенных выпускниками профильных психолого-педагогических классов (групп), поступившими на обучение по направлениям подготовки (специальностям) высшего образования в области образования, не менее чем в 3 раза по сравнению с 2024 годом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8" w:name="100059"/>
            <w:bookmarkEnd w:id="5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59" w:name="100060"/>
            <w:bookmarkEnd w:id="5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</w:tbl>
    <w:p w:rsidR="006E1D20" w:rsidRPr="006E1D20" w:rsidRDefault="006E1D20" w:rsidP="006E1D20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bookmarkStart w:id="60" w:name="100061"/>
      <w:bookmarkEnd w:id="60"/>
      <w:r w:rsidRPr="006E1D20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3. Мероприятия комплексного плана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"/>
        <w:gridCol w:w="4333"/>
        <w:gridCol w:w="1443"/>
        <w:gridCol w:w="3244"/>
      </w:tblGrid>
      <w:tr w:rsidR="006E1D20" w:rsidRPr="006E1D20" w:rsidTr="006E1D20"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1" w:name="100062"/>
            <w:bookmarkEnd w:id="6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2" w:name="100063"/>
            <w:bookmarkEnd w:id="6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3" w:name="100064"/>
            <w:bookmarkEnd w:id="6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Ответственный исполнитель и соисполнители</w:t>
            </w:r>
          </w:p>
        </w:tc>
      </w:tr>
      <w:tr w:rsidR="006E1D20" w:rsidRPr="006E1D20" w:rsidTr="006E1D20"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4" w:name="100065"/>
            <w:bookmarkEnd w:id="6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I. Модернизация содержания учебных предметов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5" w:name="100066"/>
            <w:bookmarkEnd w:id="6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6" w:name="100067"/>
            <w:bookmarkEnd w:id="6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Обновление федеральных государственных образовательных стандартов и федеральных основных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общеобразовательных программ в части учебных предметов "Окружающий мир", "Математика", "Физика", "Химия" и "Биология"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7" w:name="100068"/>
            <w:bookmarkEnd w:id="6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2026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8" w:name="100069"/>
            <w:bookmarkEnd w:id="6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Рособрнадзор,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образования"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69" w:name="100070"/>
            <w:bookmarkEnd w:id="6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0" w:name="100071"/>
            <w:bookmarkEnd w:id="7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Обновление федерального государственного образовательного стандарта дошкольного образования и федеральной образовательной программы дошкольного образования в части задач и содержания образовательной области "Познавательное развитие"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1" w:name="100072"/>
            <w:bookmarkEnd w:id="7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2" w:name="100073"/>
            <w:bookmarkEnd w:id="7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3" w:name="100074"/>
            <w:bookmarkEnd w:id="7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4" w:name="100075"/>
            <w:bookmarkEnd w:id="7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Создание и наполнение национального открытого банка учебно-методических материалов, сборников задач, дидактических материалов и книг по преподаванию математики, физики, химии и биологии, в том числе по подготовке к государственной итоговой аттестации, разработанных ведущими образовательными и научными организациями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5" w:name="100076"/>
            <w:bookmarkEnd w:id="7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6" w:name="100077"/>
            <w:bookmarkEnd w:id="7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7" w:name="100078"/>
            <w:bookmarkEnd w:id="7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8" w:name="100079"/>
            <w:bookmarkEnd w:id="7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Создание новых учебников и учебно-методических пособий по математике, физике, химии и биологии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79" w:name="100080"/>
            <w:bookmarkEnd w:id="7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0" w:name="100081"/>
            <w:bookmarkEnd w:id="8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федеральное государственное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бюджетное учреждение "Российская академия наук",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образования"</w:t>
            </w:r>
          </w:p>
        </w:tc>
      </w:tr>
      <w:tr w:rsidR="006E1D20" w:rsidRPr="006E1D20" w:rsidTr="006E1D20"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1" w:name="100082"/>
            <w:bookmarkEnd w:id="8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II. Повышение качества подготовки учителей математики и естественно-научных предметов и устранение дефицита таких учителей в общеобразовательных организациях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2" w:name="100083"/>
            <w:bookmarkEnd w:id="8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3" w:name="100084"/>
            <w:bookmarkEnd w:id="8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Обновление федеральных государственных образовательных стандартов высшего образования, относящихся к укрупненной группе специальностей и направлений подготовки 44.00.00 "Образование и педагогические науки", и единых подходов к структуре и содержанию подготовки педагогических кадров с учетом изменений в системе педагогического образования ("Ядро высшего педагогического образования", "Ядро среднего профессионального педагогического образования"), а также разработка и внедрение единых подходов к реализации практической подготовки в рамках программ педагогического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4" w:name="100085"/>
            <w:bookmarkEnd w:id="8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5" w:name="100086"/>
            <w:bookmarkEnd w:id="8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образования"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6" w:name="100087"/>
            <w:bookmarkEnd w:id="8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7" w:name="100088"/>
            <w:bookmarkEnd w:id="8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Обеспечение создания на базе Образовательного Фонда "Талант и успех" и передовых общеобразовательных организаций стажировочных площадок для практической подготовки студентов и дополнительного профессионального образования учителей математики, физики, химии и биологии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8" w:name="100089"/>
            <w:bookmarkEnd w:id="8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89" w:name="100090"/>
            <w:bookmarkEnd w:id="8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0" w:name="100091"/>
            <w:bookmarkEnd w:id="9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1" w:name="100092"/>
            <w:bookmarkEnd w:id="9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Разработка и реализация программ повышения квалификации для педагогических работников дошкольного образования (воспитатели, педагоги-психологи и другие педагогические работники), начального общего образования и педагогов дополнительного образования для формирования компетенций по эффективному преподаванию математики, развитию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познавательной активности, экспериментированию у детей дошкольного и младшего школьного возраста, активизации их исследовательского опыта естественно-научной направленности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2" w:name="100093"/>
            <w:bookmarkEnd w:id="9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3" w:name="100094"/>
            <w:bookmarkEnd w:id="9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4" w:name="100095"/>
            <w:bookmarkEnd w:id="9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5" w:name="100096"/>
            <w:bookmarkEnd w:id="9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Разработка и реализация на базе классических и инженерно-технических образовательных организаций высшего образования программ повышения квалификации для учителей математики, физики, химии и биологии, педагогов дополнительного образования, работающих в классах и группах с углубленным изучением химии, физики и биологии, в том числе на основе сетевого взаимодействия с педагогическими образовательными организациями высшего образования и общеобразовательными организациями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6" w:name="100097"/>
            <w:bookmarkEnd w:id="9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7" w:name="100098"/>
            <w:bookmarkEnd w:id="9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8" w:name="100099"/>
            <w:bookmarkEnd w:id="9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99" w:name="100100"/>
            <w:bookmarkEnd w:id="9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Разработка и реализация программ повышения квалификации для педагогических работников, преподающих математические и естественно-научные дисциплины в образовательных организациях высшего образования, реализующих образовательные программы высшего образования в области образования и педагогики, на базе ведущих образовательных организаций высшего образования и научных организаций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0" w:name="100101"/>
            <w:bookmarkEnd w:id="10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1" w:name="100102"/>
            <w:bookmarkEnd w:id="10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федеральное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образования"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2" w:name="100103"/>
            <w:bookmarkEnd w:id="10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3" w:name="100104"/>
            <w:bookmarkEnd w:id="10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Организация работы по заключению договоров о целевом обучении по педагогическим специальностям и направлениям подготовки выпускниками профильных психолого-педагогических классов (групп), поступающими в образовательные организации высшего образования, реализующие образовательные программы высшего образования по укрупненной группе специальностей и направлений подготовки 44.00.00 "Образование и педагогические науки"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4" w:name="100105"/>
            <w:bookmarkEnd w:id="10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2030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5" w:name="100106"/>
            <w:bookmarkEnd w:id="10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6" w:name="100107"/>
            <w:bookmarkEnd w:id="10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7" w:name="100108"/>
            <w:bookmarkEnd w:id="10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Обеспечение подготовки студентов - будущих учителей математики, физики, химии и биологии на базе классических и инженерно-технических образовательных организаций высшего образования, в том числе на основе сетевого взаимодействия с педагогическими образовательными организациями высшего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8" w:name="100109"/>
            <w:bookmarkEnd w:id="10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 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09" w:name="100110"/>
            <w:bookmarkEnd w:id="10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0" w:name="100111"/>
            <w:bookmarkEnd w:id="11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1" w:name="100112"/>
            <w:bookmarkEnd w:id="11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Разработка методических рекомендаций, предусматривающих единый механизм формирования прогноза региональной и квалификационно-отраслевой потребности в педагогических кадрах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для системы общего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2" w:name="100113"/>
            <w:bookmarkEnd w:id="11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3" w:name="100114"/>
            <w:bookmarkEnd w:id="11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Минтруд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4" w:name="100115"/>
            <w:bookmarkEnd w:id="11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5" w:name="100116"/>
            <w:bookmarkEnd w:id="11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Разработка (актуализация) и внедрение модуля, направленного на формирование готовности к осуществлению педагогической деятельности и получение дополнительной педагогической квалификации студентами, обучающимися по образовательным программам высшего образования в области математики, естественных и инженерно-технических наук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6" w:name="100117"/>
            <w:bookmarkEnd w:id="11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7" w:name="100118"/>
            <w:bookmarkEnd w:id="11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образовательные организации высшего образования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8" w:name="100119"/>
            <w:bookmarkEnd w:id="11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19" w:name="100120"/>
            <w:bookmarkEnd w:id="11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Подготовка предложений по формированию единой федеральной системы обратной связи с работодателями по итогам трудоустройства выпускников образовательных организаций высшего образования, реализующих образовательные программы высшего образования по укрупненной группе специальностей и направлений подготовки 44.00.00 "Образование и педагогические науки" (до 5 лет после окончания образовательной организации)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0" w:name="100121"/>
            <w:bookmarkEnd w:id="12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1" w:name="100122"/>
            <w:bookmarkEnd w:id="12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Минтруд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2" w:name="100123"/>
            <w:bookmarkEnd w:id="12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3" w:name="100124"/>
            <w:bookmarkEnd w:id="12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Формирование перечня научно-практических конференций и других аналогичных мероприятий, посвященных актуальным темам преподавания математики и естественно-научных предметов, информирование широкого круга педагогических работников о проведении таких мероприятий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4" w:name="100125"/>
            <w:bookmarkEnd w:id="12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2026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5" w:name="100126"/>
            <w:bookmarkEnd w:id="12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6" w:name="100127"/>
            <w:bookmarkEnd w:id="12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7" w:name="100128"/>
            <w:bookmarkEnd w:id="12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Принятие дополнительных мер содействия в трудоустройстве в общеобразовательные организации выпускников образовательных организаций высшего образования, имеющих педагогическую квалификацию, в первый год после окончания образовательной организации высшего образования, а также обеспечение координации органов служб занятости населения, общеобразовательных организаций и структурных подразделений образовательных организаций высшего образования, ответственных за трудоустройство выпускников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8" w:name="100129"/>
            <w:bookmarkEnd w:id="12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2026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29" w:name="100130"/>
            <w:bookmarkEnd w:id="12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Минтруд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0" w:name="100131"/>
            <w:bookmarkEnd w:id="13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1" w:name="100132"/>
            <w:bookmarkEnd w:id="13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Проведение съездов учителей математики, физики, химии и биологии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2" w:name="100133"/>
            <w:bookmarkEnd w:id="13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3" w:name="100134"/>
            <w:bookmarkEnd w:id="13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университет)"</w:t>
            </w:r>
          </w:p>
        </w:tc>
      </w:tr>
      <w:tr w:rsidR="006E1D20" w:rsidRPr="006E1D20" w:rsidTr="006E1D20"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4" w:name="100135"/>
            <w:bookmarkEnd w:id="13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III. Содействие профессиональному самоопределению обучающихся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5" w:name="100136"/>
            <w:bookmarkEnd w:id="13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6" w:name="100137"/>
            <w:bookmarkEnd w:id="13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Расширение сети профильных классов и классов с углубленным изучением математики, физики, химии и биологии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7" w:name="100138"/>
            <w:bookmarkEnd w:id="13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8" w:name="100139"/>
            <w:bookmarkEnd w:id="13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39" w:name="100140"/>
            <w:bookmarkEnd w:id="13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0" w:name="100141"/>
            <w:bookmarkEnd w:id="14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Подготовка методических рекомендаций по организации взаимодействия образовательных организаций, реализующих образовательные программы основного общего, среднего общего, среднего профессионального и высшего образования, и предприятий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1" w:name="100142"/>
            <w:bookmarkEnd w:id="14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2" w:name="100143"/>
            <w:bookmarkEnd w:id="14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3" w:name="100144"/>
            <w:bookmarkEnd w:id="14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4" w:name="100145"/>
            <w:bookmarkEnd w:id="14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Совершенствование системы олимпиад школьников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5" w:name="100146"/>
            <w:bookmarkEnd w:id="14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6" w:name="100147"/>
            <w:bookmarkEnd w:id="14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федеральное государственное бюджетное учреждение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"Российская академия наук"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7" w:name="100148"/>
            <w:bookmarkEnd w:id="14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8" w:name="100149"/>
            <w:bookmarkEnd w:id="14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Организация и проведение специализированных профильных смен научной направленности в организациях отдыха детей и их оздоровления для обучающихся общеобразовательных организаций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49" w:name="100150"/>
            <w:bookmarkEnd w:id="14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0" w:name="100151"/>
            <w:bookmarkEnd w:id="15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"Федеральный центр организационно-методического обеспечения физического воспитания"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1" w:name="100152"/>
            <w:bookmarkEnd w:id="15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2" w:name="100153"/>
            <w:bookmarkEnd w:id="15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Организация и проведение профориентационной работы математической, инженерной и естественно-научной направленности с обучающимися на базе современных промышленных предприятий, образовательных организаций высшего образования и научных организаций, включающей также мероприятия по популяризации педагогической профессии, проведение образовательных экскурсий на указанные предприятия и в научные организации, реализация профильных образовательно-туристских проектов и программ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3" w:name="100154"/>
            <w:bookmarkEnd w:id="15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4" w:name="100155"/>
            <w:bookmarkEnd w:id="15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Росмолодежь,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Общероссийское общественно-государственное движение детей и молодежи "Движение первых",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Общероссийская общественно-государственная просветительская организация "Российское общество "Знание",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автономная некоммерческая организация "Национальные приоритеты",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иные заинтересованные организации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5" w:name="100156"/>
            <w:bookmarkEnd w:id="15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6" w:name="100157"/>
            <w:bookmarkEnd w:id="15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Включение в циклы внеурочных занятий "Разговоры о важном" и "Россия - мои горизонты" тем, посвященных популяризации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математики и естественно-научных предметов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7" w:name="100158"/>
            <w:bookmarkEnd w:id="15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8" w:name="100159"/>
            <w:bookmarkEnd w:id="15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59" w:name="100160"/>
            <w:bookmarkEnd w:id="15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0" w:name="100161"/>
            <w:bookmarkEnd w:id="16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Популяризация в информационном пространстве математического и естественно-научного образования среди широких слоев населения, включающая издание серии научно-популярной литературы, проведение выставок, создание видеоконтента и привлечение популярных блогеров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1" w:name="100162"/>
            <w:bookmarkEnd w:id="16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2" w:name="100163"/>
            <w:bookmarkEnd w:id="16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Росмолодежь,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автономная некоммерческая организация "Национальные приоритеты",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Общероссийская общественно-государственная просветительская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организация "Российское общество "Знание",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автономная некоммерческая организация "Дирекция Выставки Достижений "Россия"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3" w:name="100164"/>
            <w:bookmarkEnd w:id="16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4" w:name="100165"/>
            <w:bookmarkEnd w:id="16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Разработка дополнительных образовательных программ, направленных на популяризацию химии, преодоление хемофобии и развитие химической грамотности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5" w:name="100166"/>
            <w:bookmarkEnd w:id="16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6" w:name="100167"/>
            <w:bookmarkEnd w:id="16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</w:t>
            </w:r>
          </w:p>
        </w:tc>
      </w:tr>
      <w:tr w:rsidR="006E1D20" w:rsidRPr="006E1D20" w:rsidTr="006E1D20"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7" w:name="100168"/>
            <w:bookmarkEnd w:id="16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IV. Организация учебно-методического обеспечения преподавания математики и естественно-научных предметов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8" w:name="100169"/>
            <w:bookmarkEnd w:id="16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69" w:name="100170"/>
            <w:bookmarkEnd w:id="16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Разработка ведущими образовательными организациями методических материалов для углубленного и профильного изучения математики, физики, химии и биологии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0" w:name="100171"/>
            <w:bookmarkEnd w:id="17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1" w:name="100172"/>
            <w:bookmarkEnd w:id="17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2" w:name="100173"/>
            <w:bookmarkEnd w:id="17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3" w:name="100174"/>
            <w:bookmarkEnd w:id="17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Разработка методических материалов для учебно-методических объединений по общему образованию и организаций дополнительного профессионального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4" w:name="100175"/>
            <w:bookmarkEnd w:id="17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5" w:name="100176"/>
            <w:bookmarkEnd w:id="17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6" w:name="100177"/>
            <w:bookmarkEnd w:id="17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7" w:name="100178"/>
            <w:bookmarkEnd w:id="17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Проведение мониторинга создания и развития естественно-научной учебно-воспитательной среды, включая оформление естественно-научных пространств в общеобразовательных организациях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8" w:name="100179"/>
            <w:bookmarkEnd w:id="17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79" w:name="100180"/>
            <w:bookmarkEnd w:id="17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0" w:name="100181"/>
            <w:bookmarkEnd w:id="18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1" w:name="100182"/>
            <w:bookmarkEnd w:id="18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Создание сценариев учебных заданий - интерактивных контекстных задач, лабораторных и практических работ по химии, физике и биологии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2" w:name="100183"/>
            <w:bookmarkEnd w:id="18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3" w:name="100184"/>
            <w:bookmarkEnd w:id="18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4" w:name="100185"/>
            <w:bookmarkEnd w:id="18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5" w:name="100186"/>
            <w:bookmarkEnd w:id="18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Проведение совместных научно-практических и образовательных мероприятий с ассоциациями учителей естественно-научных предметов с привлечением представителей профессионального и научного сообщества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6" w:name="100187"/>
            <w:bookmarkEnd w:id="18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7" w:name="100188"/>
            <w:bookmarkEnd w:id="18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исполнительные органы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субъектов Российской Федерации</w:t>
            </w:r>
          </w:p>
        </w:tc>
      </w:tr>
      <w:tr w:rsidR="006E1D20" w:rsidRPr="006E1D20" w:rsidTr="006E1D20"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8" w:name="100189"/>
            <w:bookmarkEnd w:id="18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V. Совершенствование системы управления качеством образования по учебным предметам "Математика", "Физика", "Химия" и "Биология"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89" w:name="100190"/>
            <w:bookmarkEnd w:id="18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0" w:name="100191"/>
            <w:bookmarkEnd w:id="19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Разработка планов мероприятий по развитию математического и естественно-научного общего образования в субъектах Российской Федерации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1" w:name="100192"/>
            <w:bookmarkEnd w:id="19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2" w:name="100193"/>
            <w:bookmarkEnd w:id="19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3" w:name="100194"/>
            <w:bookmarkEnd w:id="19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4" w:name="100195"/>
            <w:bookmarkEnd w:id="19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Разработка предложений по совершенствованию заданий государственной итоговой аттестации по образовательным программам основного общего и среднего общего образования по математике, физике, химии и биологии, включающих рекомендации по актуализации перечня отдельных тем и критериев проверки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5" w:name="100196"/>
            <w:bookmarkEnd w:id="19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6" w:name="100197"/>
            <w:bookmarkEnd w:id="19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Рособрнадзор,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7" w:name="100198"/>
            <w:bookmarkEnd w:id="19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8" w:name="100199"/>
            <w:bookmarkEnd w:id="19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Совершенствование системы государственной итоговой аттестации по математике, физике, химии и биологии, включая разработку предложений по обязательной сдаче экзамена по физике, химии или биологии на выбор обучающегося, завершающего освоение образовательной программы основного общего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199" w:name="100200"/>
            <w:bookmarkEnd w:id="19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0" w:name="100201"/>
            <w:bookmarkEnd w:id="20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Рособрнадзор,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1" w:name="100202"/>
            <w:bookmarkEnd w:id="20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2" w:name="100203"/>
            <w:bookmarkEnd w:id="20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Проведение анализа качества преподавания и изучения математики, физики, химии и биологии в системе общего образования Российской Федерации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3" w:name="100204"/>
            <w:bookmarkEnd w:id="20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4" w:name="100205"/>
            <w:bookmarkEnd w:id="20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Рособрнадзор,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федеральное государственное бюджетное учреждение "Российская академия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образования"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5" w:name="100206"/>
            <w:bookmarkEnd w:id="20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6" w:name="100207"/>
            <w:bookmarkEnd w:id="20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Актуализация концепций преподавания математики, физики, химии и биологии на всех уровнях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7" w:name="100208"/>
            <w:bookmarkEnd w:id="20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8" w:name="100209"/>
            <w:bookmarkEnd w:id="20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образования"</w:t>
            </w:r>
          </w:p>
        </w:tc>
      </w:tr>
      <w:tr w:rsidR="006E1D20" w:rsidRPr="006E1D20" w:rsidTr="006E1D20"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09" w:name="100210"/>
            <w:bookmarkEnd w:id="20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VI. Совершенствование преподавания учебных предметов "Математика", "Физика", "Химия" и "Биология"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0" w:name="100211"/>
            <w:bookmarkEnd w:id="21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1" w:name="100212"/>
            <w:bookmarkEnd w:id="21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Введение обязательного вступительного испытания по физике на все инженерные направления подготовки (специальности) высшего образования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2" w:name="100213"/>
            <w:bookmarkEnd w:id="21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3" w:name="100214"/>
            <w:bookmarkEnd w:id="21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4" w:name="100215"/>
            <w:bookmarkEnd w:id="21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5" w:name="100216"/>
            <w:bookmarkEnd w:id="21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Введение обязательных вступительных испытаний по профилям педагогической подготовки, в том числе по математике, физике, химии и биологии, при приеме на направления подготовки (специальности) высшего </w:t>
            </w: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образования в области образования и педагогики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6" w:name="100217"/>
            <w:bookmarkEnd w:id="21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2027 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7" w:name="100218"/>
            <w:bookmarkEnd w:id="21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8" w:name="100219"/>
            <w:bookmarkEnd w:id="21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38.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19" w:name="100220"/>
            <w:bookmarkEnd w:id="21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Оснащение общеобразовательных организаций и образовательных организаций высшего образования, в которых ведется подготовка и повышение квалификации учителей, современным учебно-лабораторным оборудованием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0" w:name="100221"/>
            <w:bookmarkEnd w:id="22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2025 - 2030 годы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1" w:name="100222"/>
            <w:bookmarkEnd w:id="221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Минпромторг России</w:t>
            </w:r>
          </w:p>
        </w:tc>
      </w:tr>
      <w:tr w:rsidR="006E1D20" w:rsidRPr="006E1D20" w:rsidTr="006E1D20">
        <w:tc>
          <w:tcPr>
            <w:tcW w:w="0" w:type="auto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2" w:name="100223"/>
            <w:bookmarkEnd w:id="222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VII. Иные мероприятия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3" w:name="100224"/>
            <w:bookmarkEnd w:id="223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4" w:name="100225"/>
            <w:bookmarkEnd w:id="224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Информационное сопровождение реализации комплексного плана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5" w:name="100226"/>
            <w:bookmarkEnd w:id="225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2024 год,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6" w:name="100227"/>
            <w:bookmarkEnd w:id="226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Минпросвещения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</w:t>
            </w:r>
          </w:p>
        </w:tc>
      </w:tr>
      <w:tr w:rsidR="006E1D20" w:rsidRPr="006E1D20" w:rsidTr="006E1D2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7" w:name="100228"/>
            <w:bookmarkEnd w:id="227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8" w:name="100229"/>
            <w:bookmarkEnd w:id="228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Подготовка и представление в Минпросвещения России информации о ходе реализации мероприятий комплексного плана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29" w:name="100230"/>
            <w:bookmarkEnd w:id="229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до 1 февраля 2025 г.,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далее - ежегодно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bookmarkStart w:id="230" w:name="100231"/>
            <w:bookmarkEnd w:id="230"/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Минобрнауки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Рособрнадзор,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Росмолодежь,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Минпромторг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Минтруд России,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Образовательный Фонд "Талант и успех",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исполнительные органы субъектов Российской Федерации,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наук",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"Российская академия образования",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Общероссийское общественно-государственное движение детей и молодежи "Движение первых",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Общероссийская общественно-государственная просветительская организация "Российское общество "Знание",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автономная некоммерческая организация "Национальные приоритеты",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учреждение "Федеральный центр организационно-методического обеспечения физического воспитания",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 Ломоносова",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 "Московский физико-технический институт (национальный исследовательский университет)",</w:t>
            </w:r>
          </w:p>
          <w:p w:rsidR="006E1D20" w:rsidRPr="006E1D20" w:rsidRDefault="006E1D20" w:rsidP="006E1D20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6E1D20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автономная некоммерческая организация "Дирекция Выставки Достижений "Россия"</w:t>
            </w:r>
          </w:p>
        </w:tc>
      </w:tr>
    </w:tbl>
    <w:p w:rsidR="00E932FC" w:rsidRDefault="00E932FC">
      <w:bookmarkStart w:id="231" w:name="_GoBack"/>
      <w:bookmarkEnd w:id="231"/>
    </w:p>
    <w:sectPr w:rsidR="00E93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ar(--bs-font-monospace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98D"/>
    <w:rsid w:val="000A298D"/>
    <w:rsid w:val="006E1D20"/>
    <w:rsid w:val="00E9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rasporjazhenie-pravitelstva-rf-ot-19112024-n-3333-r-ob-utverzhdeni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galacts.ru/doc/rasporjazhenie-pravitelstva-rf-ot-19112024-n-3333-r-ob-utverzhdenii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galacts.ru/doc/rasporjazhenie-pravitelstva-rf-ot-19112024-n-3333-r-ob-utverzhdenii/" TargetMode="External"/><Relationship Id="rId11" Type="http://schemas.openxmlformats.org/officeDocument/2006/relationships/hyperlink" Target="https://legalacts.ru/doc/rasporjazhenie-pravitelstva-rf-ot-19112024-n-3333-r-ob-utverzhdenii/" TargetMode="External"/><Relationship Id="rId5" Type="http://schemas.openxmlformats.org/officeDocument/2006/relationships/hyperlink" Target="https://legalacts.ru/doc/rasporjazhenie-pravitelstva-rf-ot-19112024-n-3333-r-ob-utverzhdenii/" TargetMode="External"/><Relationship Id="rId10" Type="http://schemas.openxmlformats.org/officeDocument/2006/relationships/hyperlink" Target="https://legalacts.ru/doc/rasporjazhenie-pravitelstva-rf-ot-19112024-n-3333-r-ob-utverzhden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rasporjazhenie-pravitelstva-rf-ot-19112024-n-3333-r-ob-utverzhden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4075</Words>
  <Characters>23232</Characters>
  <Application>Microsoft Office Word</Application>
  <DocSecurity>0</DocSecurity>
  <Lines>193</Lines>
  <Paragraphs>54</Paragraphs>
  <ScaleCrop>false</ScaleCrop>
  <Company>SPecialiST RePack</Company>
  <LinksUpToDate>false</LinksUpToDate>
  <CharactersWithSpaces>27253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2026-04-03T12:06:00Z</dcterms:created>
  <dcterms:modified xsi:type="dcterms:W3CDTF">2026-04-03T12:07:00Z</dcterms:modified>
</cp:coreProperties>
</file>