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ind/>
        <w:jc w:val="center"/>
      </w:pPr>
    </w:p>
    <w:p w14:paraId="02000000">
      <w:pPr>
        <w:spacing w:after="0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План</w:t>
      </w:r>
    </w:p>
    <w:p w14:paraId="03000000">
      <w:pPr>
        <w:spacing w:after="0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мероприятий по улучшению материально-технической базы для проведения летней оздоровительной кампании 2026 г. в МАОУ «</w:t>
      </w:r>
      <w:r>
        <w:rPr>
          <w:rFonts w:ascii="Times New Roman" w:hAnsi="Times New Roman"/>
          <w:sz w:val="24"/>
        </w:rPr>
        <w:t>Байгуловская</w:t>
      </w:r>
      <w:r>
        <w:rPr>
          <w:rFonts w:ascii="Times New Roman" w:hAnsi="Times New Roman"/>
          <w:sz w:val="24"/>
        </w:rPr>
        <w:t xml:space="preserve"> СОШ» </w:t>
      </w:r>
    </w:p>
    <w:p w14:paraId="04000000">
      <w:pPr>
        <w:spacing w:after="0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Козловского муниципального округа Чувашской Республики</w:t>
      </w:r>
    </w:p>
    <w:tbl>
      <w:tblPr>
        <w:tblStyle w:val="Style_1"/>
        <w:tblLayout w:type="fixed"/>
      </w:tblPr>
      <w:tblGrid>
        <w:gridCol w:w="445"/>
        <w:gridCol w:w="2669"/>
        <w:gridCol w:w="2589"/>
        <w:gridCol w:w="2027"/>
        <w:gridCol w:w="1615"/>
      </w:tblGrid>
      <w:tr>
        <w:tc>
          <w:tcPr>
            <w:tcW w:type="dxa" w:w="445"/>
          </w:tcPr>
          <w:p w14:paraId="05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</w:t>
            </w:r>
          </w:p>
        </w:tc>
        <w:tc>
          <w:tcPr>
            <w:tcW w:type="dxa" w:w="2669"/>
          </w:tcPr>
          <w:p w14:paraId="06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направления</w:t>
            </w:r>
          </w:p>
        </w:tc>
        <w:tc>
          <w:tcPr>
            <w:tcW w:type="dxa" w:w="2589"/>
          </w:tcPr>
          <w:p w14:paraId="07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мероприятия</w:t>
            </w:r>
          </w:p>
        </w:tc>
        <w:tc>
          <w:tcPr>
            <w:tcW w:type="dxa" w:w="2027"/>
          </w:tcPr>
          <w:p w14:paraId="08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ответственный</w:t>
            </w:r>
          </w:p>
        </w:tc>
        <w:tc>
          <w:tcPr>
            <w:tcW w:type="dxa" w:w="1615"/>
          </w:tcPr>
          <w:p w14:paraId="09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сроки</w:t>
            </w:r>
          </w:p>
        </w:tc>
      </w:tr>
      <w:tr>
        <w:tc>
          <w:tcPr>
            <w:tcW w:type="dxa" w:w="445"/>
          </w:tcPr>
          <w:p w14:paraId="0A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type="dxa" w:w="2669"/>
          </w:tcPr>
          <w:p w14:paraId="0B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Оценка текущего состояния объектов инфраструктуры лагеря</w:t>
            </w:r>
          </w:p>
        </w:tc>
        <w:tc>
          <w:tcPr>
            <w:tcW w:type="dxa" w:w="2589"/>
          </w:tcPr>
          <w:p w14:paraId="0C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Проведение инвентаризации всех помещений, оборудования и инвентаря лагеря.</w:t>
            </w:r>
          </w:p>
          <w:p w14:paraId="0D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Анализ технического состояния зданий и сооружений (наличие повреждений, износ конструкций).</w:t>
            </w:r>
          </w:p>
          <w:p w14:paraId="0E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Проверка соответствия санитарным нормам и требованиям пожарной безопасности.</w:t>
            </w:r>
          </w:p>
          <w:p w14:paraId="0F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Составление перечня необходимого ремонта и модернизации.</w:t>
            </w:r>
          </w:p>
        </w:tc>
        <w:tc>
          <w:tcPr>
            <w:tcW w:type="dxa" w:w="2027"/>
          </w:tcPr>
          <w:p w14:paraId="10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Комиссия администрации школы совместно с представителями родительского комитета.</w:t>
            </w:r>
          </w:p>
        </w:tc>
        <w:tc>
          <w:tcPr>
            <w:tcW w:type="dxa" w:w="1615"/>
          </w:tcPr>
          <w:p w14:paraId="11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февраль-март 2026 г</w:t>
            </w:r>
          </w:p>
        </w:tc>
      </w:tr>
      <w:tr>
        <w:tc>
          <w:tcPr>
            <w:tcW w:type="dxa" w:w="445"/>
          </w:tcPr>
          <w:p w14:paraId="12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</w:t>
            </w:r>
          </w:p>
        </w:tc>
        <w:tc>
          <w:tcPr>
            <w:tcW w:type="dxa" w:w="2669"/>
          </w:tcPr>
          <w:p w14:paraId="13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Оснащение лагеря необходимым оборудованием и инвентарем</w:t>
            </w:r>
          </w:p>
        </w:tc>
        <w:tc>
          <w:tcPr>
            <w:tcW w:type="dxa" w:w="2589"/>
          </w:tcPr>
          <w:p w14:paraId="14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Покупка мячей, инвентаря для творчества и развития детей.</w:t>
            </w:r>
          </w:p>
          <w:p w14:paraId="15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Оборудование кабинетов медицинских услуг современным диагностическим оборудованием и медикаментами.</w:t>
            </w:r>
          </w:p>
        </w:tc>
        <w:tc>
          <w:tcPr>
            <w:tcW w:type="dxa" w:w="2027"/>
          </w:tcPr>
          <w:p w14:paraId="16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Администрация образовательного учреждения.</w:t>
            </w:r>
          </w:p>
        </w:tc>
        <w:tc>
          <w:tcPr>
            <w:tcW w:type="dxa" w:w="1615"/>
          </w:tcPr>
          <w:p w14:paraId="17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Апрель-май 2026 г.</w:t>
            </w:r>
          </w:p>
        </w:tc>
      </w:tr>
      <w:tr>
        <w:tc>
          <w:tcPr>
            <w:tcW w:type="dxa" w:w="445"/>
          </w:tcPr>
          <w:p w14:paraId="18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</w:t>
            </w:r>
          </w:p>
        </w:tc>
        <w:tc>
          <w:tcPr>
            <w:tcW w:type="dxa" w:w="2669"/>
          </w:tcPr>
          <w:p w14:paraId="19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Создание условий для полноценного питания и досуга воспитанников</w:t>
            </w:r>
          </w:p>
        </w:tc>
        <w:tc>
          <w:tcPr>
            <w:tcW w:type="dxa" w:w="2589"/>
          </w:tcPr>
          <w:p w14:paraId="1A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Улучшение меню столовой, расширение ассортимента продуктов питания.</w:t>
            </w:r>
          </w:p>
          <w:p w14:paraId="1B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  <w:r>
              <w:rPr>
                <w:rFonts w:ascii="Times New Roman" w:hAnsi="Times New Roman"/>
                <w:sz w:val="24"/>
              </w:rPr>
              <w:t>Усовершенствование процессов приготовления пищи, приобретение современных кухонных приборов.</w:t>
            </w:r>
          </w:p>
          <w:p w14:paraId="1C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Разработка развлекательной программы с учётом возрастных особенностей детей.</w:t>
            </w:r>
          </w:p>
          <w:p w14:paraId="1D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Организация экскурсий, походов, творческих мастерских и спортивных соревнований.</w:t>
            </w:r>
          </w:p>
        </w:tc>
        <w:tc>
          <w:tcPr>
            <w:tcW w:type="dxa" w:w="2027"/>
          </w:tcPr>
          <w:p w14:paraId="1E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Администрация образовательного учреждения,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аутсорсер</w:t>
            </w:r>
            <w:r>
              <w:rPr>
                <w:rFonts w:ascii="Times New Roman" w:hAnsi="Times New Roman"/>
                <w:sz w:val="24"/>
              </w:rPr>
              <w:t>,</w:t>
            </w:r>
            <w:r>
              <w:rPr>
                <w:rFonts w:ascii="Times New Roman" w:hAnsi="Times New Roman"/>
                <w:sz w:val="24"/>
              </w:rPr>
              <w:t xml:space="preserve"> педагогический коллектив школы, повар, руководство лагеря.</w:t>
            </w:r>
          </w:p>
        </w:tc>
        <w:tc>
          <w:tcPr>
            <w:tcW w:type="dxa" w:w="1615"/>
          </w:tcPr>
          <w:p w14:paraId="1F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Апрель-май</w:t>
            </w:r>
            <w:r>
              <w:rPr>
                <w:rFonts w:ascii="Times New Roman" w:hAnsi="Times New Roman"/>
                <w:sz w:val="24"/>
              </w:rPr>
              <w:t xml:space="preserve"> 2026 г.</w:t>
            </w:r>
          </w:p>
        </w:tc>
      </w:tr>
      <w:tr>
        <w:tc>
          <w:tcPr>
            <w:tcW w:type="dxa" w:w="445"/>
          </w:tcPr>
          <w:p w14:paraId="20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  <w:r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type="dxa" w:w="2669"/>
          </w:tcPr>
          <w:p w14:paraId="21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Повышение квалификации сотрудников лагеря</w:t>
            </w:r>
          </w:p>
        </w:tc>
        <w:tc>
          <w:tcPr>
            <w:tcW w:type="dxa" w:w="2589"/>
          </w:tcPr>
          <w:p w14:paraId="22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Организация курсов повышения квалификации персонала лагеря по вопросам охраны здоровья детей, педагогики и психологии детского отдыха.</w:t>
            </w:r>
          </w:p>
          <w:p w14:paraId="23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Регулярное прохождение медицинского осмотра сотрудниками, обеспечивающими безопасность пребывания детей в лагере.</w:t>
            </w:r>
          </w:p>
          <w:p w14:paraId="24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Совершенствование системы подготовки вожатых, воспитателей и педагогов дополнительного образования.</w:t>
            </w:r>
          </w:p>
        </w:tc>
        <w:tc>
          <w:tcPr>
            <w:tcW w:type="dxa" w:w="2027"/>
          </w:tcPr>
          <w:p w14:paraId="25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Администрация образовательного учреждения</w:t>
            </w:r>
          </w:p>
        </w:tc>
        <w:tc>
          <w:tcPr>
            <w:tcW w:type="dxa" w:w="1615"/>
          </w:tcPr>
          <w:p w14:paraId="26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Январь-</w:t>
            </w:r>
            <w:r>
              <w:rPr>
                <w:rFonts w:ascii="Times New Roman" w:hAnsi="Times New Roman"/>
                <w:sz w:val="24"/>
              </w:rPr>
              <w:t>май</w:t>
            </w:r>
            <w:r>
              <w:rPr>
                <w:rFonts w:ascii="Times New Roman" w:hAnsi="Times New Roman"/>
                <w:sz w:val="24"/>
              </w:rPr>
              <w:t xml:space="preserve"> 2026 г.</w:t>
            </w:r>
          </w:p>
        </w:tc>
      </w:tr>
      <w:tr>
        <w:tc>
          <w:tcPr>
            <w:tcW w:type="dxa" w:w="445"/>
          </w:tcPr>
          <w:p w14:paraId="27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type="dxa" w:w="2669"/>
          </w:tcPr>
          <w:p w14:paraId="28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Контроль реализации мероприятий</w:t>
            </w:r>
          </w:p>
        </w:tc>
        <w:tc>
          <w:tcPr>
            <w:tcW w:type="dxa" w:w="2589"/>
          </w:tcPr>
          <w:p w14:paraId="29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</w:t>
            </w:r>
            <w:r>
              <w:rPr>
                <w:rFonts w:ascii="Times New Roman" w:hAnsi="Times New Roman"/>
                <w:sz w:val="24"/>
              </w:rPr>
              <w:t>Постоянный мониторинг хода выполнения запланированных мер.</w:t>
            </w:r>
          </w:p>
          <w:p w14:paraId="2A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Отчётность перед руководством школы и органами управления образованием.</w:t>
            </w:r>
          </w:p>
          <w:p w14:paraId="2B000000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Привлечение общественности и родительской общественности к обсуждению результатов проводимых мероприятий</w:t>
            </w:r>
          </w:p>
        </w:tc>
        <w:tc>
          <w:tcPr>
            <w:tcW w:type="dxa" w:w="2027"/>
          </w:tcPr>
          <w:p w14:paraId="2C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Администрация образовательного учреждения</w:t>
            </w:r>
          </w:p>
        </w:tc>
        <w:tc>
          <w:tcPr>
            <w:tcW w:type="dxa" w:w="1615"/>
          </w:tcPr>
          <w:p w14:paraId="2D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Январь-</w:t>
            </w:r>
            <w:r>
              <w:rPr>
                <w:rFonts w:ascii="Times New Roman" w:hAnsi="Times New Roman"/>
                <w:sz w:val="24"/>
              </w:rPr>
              <w:t>август</w:t>
            </w:r>
          </w:p>
          <w:p w14:paraId="2E000000">
            <w:pPr>
              <w:ind/>
              <w:jc w:val="center"/>
              <w:rPr>
                <w:rFonts w:ascii="Times New Roman" w:hAnsi="Times New Roman"/>
                <w:sz w:val="24"/>
              </w:rPr>
            </w:pPr>
            <w:bookmarkStart w:id="1" w:name="_GoBack"/>
            <w:bookmarkEnd w:id="1"/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2026 г.</w:t>
            </w:r>
          </w:p>
        </w:tc>
      </w:tr>
    </w:tbl>
    <w:p w14:paraId="2F000000">
      <w:pPr>
        <w:rPr>
          <w:rFonts w:ascii="Times New Roman" w:hAnsi="Times New Roman"/>
          <w:sz w:val="24"/>
        </w:rPr>
      </w:pPr>
    </w:p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160" w:before="0" w:line="264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3" w:type="paragraph">
    <w:name w:val="toc 2"/>
    <w:next w:val="Style_2"/>
    <w:link w:val="Style_3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2"/>
    <w:link w:val="Style_5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2"/>
    <w:link w:val="Style_6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heading 3"/>
    <w:next w:val="Style_2"/>
    <w:link w:val="Style_7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toc 3"/>
    <w:next w:val="Style_2"/>
    <w:link w:val="Style_8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8_ch" w:type="character">
    <w:name w:val="toc 3"/>
    <w:link w:val="Style_8"/>
    <w:rPr>
      <w:rFonts w:ascii="XO Thames" w:hAnsi="XO Thames"/>
      <w:sz w:val="28"/>
    </w:rPr>
  </w:style>
  <w:style w:styleId="Style_9" w:type="paragraph">
    <w:name w:val="heading 5"/>
    <w:next w:val="Style_2"/>
    <w:link w:val="Style_9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9_ch" w:type="character">
    <w:name w:val="heading 5"/>
    <w:link w:val="Style_9"/>
    <w:rPr>
      <w:rFonts w:ascii="XO Thames" w:hAnsi="XO Thames"/>
      <w:b w:val="1"/>
      <w:sz w:val="22"/>
    </w:rPr>
  </w:style>
  <w:style w:styleId="Style_10" w:type="paragraph">
    <w:name w:val="heading 1"/>
    <w:next w:val="Style_2"/>
    <w:link w:val="Style_10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0_ch" w:type="character">
    <w:name w:val="heading 1"/>
    <w:link w:val="Style_10"/>
    <w:rPr>
      <w:rFonts w:ascii="XO Thames" w:hAnsi="XO Thames"/>
      <w:b w:val="1"/>
      <w:sz w:val="32"/>
    </w:rPr>
  </w:style>
  <w:style w:styleId="Style_11" w:type="paragraph">
    <w:name w:val="Hyperlink"/>
    <w:link w:val="Style_11_ch"/>
    <w:rPr>
      <w:color w:val="0000FF"/>
      <w:u w:val="single"/>
    </w:rPr>
  </w:style>
  <w:style w:styleId="Style_11_ch" w:type="character">
    <w:name w:val="Hyperlink"/>
    <w:link w:val="Style_11"/>
    <w:rPr>
      <w:color w:val="0000FF"/>
      <w:u w:val="single"/>
    </w:rPr>
  </w:style>
  <w:style w:styleId="Style_12" w:type="paragraph">
    <w:name w:val="Footnote"/>
    <w:link w:val="Style_12_ch"/>
    <w:pPr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Footnote"/>
    <w:link w:val="Style_12"/>
    <w:rPr>
      <w:rFonts w:ascii="XO Thames" w:hAnsi="XO Thames"/>
      <w:sz w:val="22"/>
    </w:rPr>
  </w:style>
  <w:style w:styleId="Style_13" w:type="paragraph">
    <w:name w:val="toc 1"/>
    <w:next w:val="Style_2"/>
    <w:link w:val="Style_13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3_ch" w:type="character">
    <w:name w:val="toc 1"/>
    <w:link w:val="Style_13"/>
    <w:rPr>
      <w:rFonts w:ascii="XO Thames" w:hAnsi="XO Thames"/>
      <w:b w:val="1"/>
      <w:sz w:val="28"/>
    </w:rPr>
  </w:style>
  <w:style w:styleId="Style_14" w:type="paragraph">
    <w:name w:val="Header and Footer"/>
    <w:link w:val="Style_14_ch"/>
    <w:pPr>
      <w:spacing w:line="240" w:lineRule="auto"/>
      <w:ind/>
      <w:jc w:val="both"/>
    </w:pPr>
    <w:rPr>
      <w:rFonts w:ascii="XO Thames" w:hAnsi="XO Thames"/>
      <w:sz w:val="20"/>
    </w:rPr>
  </w:style>
  <w:style w:styleId="Style_14_ch" w:type="character">
    <w:name w:val="Header and Footer"/>
    <w:link w:val="Style_14"/>
    <w:rPr>
      <w:rFonts w:ascii="XO Thames" w:hAnsi="XO Thames"/>
      <w:sz w:val="20"/>
    </w:rPr>
  </w:style>
  <w:style w:styleId="Style_15" w:type="paragraph">
    <w:name w:val="toc 9"/>
    <w:next w:val="Style_2"/>
    <w:link w:val="Style_15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5_ch" w:type="character">
    <w:name w:val="toc 9"/>
    <w:link w:val="Style_15"/>
    <w:rPr>
      <w:rFonts w:ascii="XO Thames" w:hAnsi="XO Thames"/>
      <w:sz w:val="28"/>
    </w:rPr>
  </w:style>
  <w:style w:styleId="Style_16" w:type="paragraph">
    <w:name w:val="toc 8"/>
    <w:next w:val="Style_2"/>
    <w:link w:val="Style_16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6_ch" w:type="character">
    <w:name w:val="toc 8"/>
    <w:link w:val="Style_16"/>
    <w:rPr>
      <w:rFonts w:ascii="XO Thames" w:hAnsi="XO Thames"/>
      <w:sz w:val="28"/>
    </w:rPr>
  </w:style>
  <w:style w:styleId="Style_17" w:type="paragraph">
    <w:name w:val="toc 5"/>
    <w:next w:val="Style_2"/>
    <w:link w:val="Style_17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7_ch" w:type="character">
    <w:name w:val="toc 5"/>
    <w:link w:val="Style_17"/>
    <w:rPr>
      <w:rFonts w:ascii="XO Thames" w:hAnsi="XO Thames"/>
      <w:sz w:val="28"/>
    </w:rPr>
  </w:style>
  <w:style w:styleId="Style_18" w:type="paragraph">
    <w:name w:val="Subtitle"/>
    <w:next w:val="Style_2"/>
    <w:link w:val="Style_18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18_ch" w:type="character">
    <w:name w:val="Subtitle"/>
    <w:link w:val="Style_18"/>
    <w:rPr>
      <w:rFonts w:ascii="XO Thames" w:hAnsi="XO Thames"/>
      <w:i w:val="1"/>
      <w:sz w:val="24"/>
    </w:rPr>
  </w:style>
  <w:style w:styleId="Style_19" w:type="paragraph">
    <w:name w:val="Title"/>
    <w:next w:val="Style_2"/>
    <w:link w:val="Style_19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19_ch" w:type="character">
    <w:name w:val="Title"/>
    <w:link w:val="Style_19"/>
    <w:rPr>
      <w:rFonts w:ascii="XO Thames" w:hAnsi="XO Thames"/>
      <w:b w:val="1"/>
      <w:caps w:val="1"/>
      <w:sz w:val="40"/>
    </w:rPr>
  </w:style>
  <w:style w:styleId="Style_20" w:type="paragraph">
    <w:name w:val="heading 4"/>
    <w:next w:val="Style_2"/>
    <w:link w:val="Style_20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0_ch" w:type="character">
    <w:name w:val="heading 4"/>
    <w:link w:val="Style_20"/>
    <w:rPr>
      <w:rFonts w:ascii="XO Thames" w:hAnsi="XO Thames"/>
      <w:b w:val="1"/>
      <w:sz w:val="24"/>
    </w:rPr>
  </w:style>
  <w:style w:styleId="Style_21" w:type="paragraph">
    <w:name w:val="Default Paragraph Font"/>
    <w:link w:val="Style_21_ch"/>
  </w:style>
  <w:style w:styleId="Style_21_ch" w:type="character">
    <w:name w:val="Default Paragraph Font"/>
    <w:link w:val="Style_21"/>
  </w:style>
  <w:style w:styleId="Style_22" w:type="paragraph">
    <w:name w:val="heading 2"/>
    <w:next w:val="Style_2"/>
    <w:link w:val="Style_22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2_ch" w:type="character">
    <w:name w:val="heading 2"/>
    <w:link w:val="Style_22"/>
    <w:rPr>
      <w:rFonts w:ascii="XO Thames" w:hAnsi="XO Thames"/>
      <w:b w:val="1"/>
      <w:sz w:val="28"/>
    </w:rPr>
  </w:style>
  <w:style w:default="1" w:styleId="Style_2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1" w:type="table">
    <w:name w:val="Table Grid"/>
    <w:basedOn w:val="Style_23"/>
    <w:pPr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MyOffice-CoreFramework-Android/29-1028.734.7326.662.0@RELEASE-CORE-29.0-RC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2025-10-31T09:52:56Z</dcterms:modified>
</cp:coreProperties>
</file>