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FB2" w:rsidRDefault="00053FB2" w:rsidP="00053FB2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</w:p>
    <w:p w:rsidR="0005146F" w:rsidRDefault="0005146F" w:rsidP="0005146F">
      <w:pPr>
        <w:pStyle w:val="2"/>
        <w:shd w:val="clear" w:color="auto" w:fill="FFFFFF"/>
        <w:rPr>
          <w:rFonts w:ascii="GraphikLCG-Medium" w:hAnsi="GraphikLCG-Medium"/>
          <w:b w:val="0"/>
          <w:bCs w:val="0"/>
          <w:color w:val="403360"/>
          <w:spacing w:val="2"/>
        </w:rPr>
      </w:pPr>
      <w:bookmarkStart w:id="0" w:name="_GoBack"/>
      <w:r>
        <w:rPr>
          <w:rFonts w:ascii="GraphikLCG-Medium" w:hAnsi="GraphikLCG-Medium"/>
          <w:b w:val="0"/>
          <w:bCs w:val="0"/>
          <w:color w:val="403360"/>
          <w:spacing w:val="2"/>
        </w:rPr>
        <w:t>Темная сторона солнца — негативные последствия для кожи</w:t>
      </w:r>
    </w:p>
    <w:bookmarkEnd w:id="0"/>
    <w:p w:rsidR="0005146F" w:rsidRDefault="0005146F" w:rsidP="0005146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Фотостарение (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Гелиодерматоз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):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Механизм: </w:t>
      </w:r>
      <w:proofErr w:type="gramStart"/>
      <w:r>
        <w:rPr>
          <w:rFonts w:ascii="Arial" w:hAnsi="Arial" w:cs="Arial"/>
          <w:color w:val="403360"/>
          <w:spacing w:val="2"/>
          <w:sz w:val="23"/>
          <w:szCs w:val="23"/>
        </w:rPr>
        <w:t>УФ-А</w:t>
      </w:r>
      <w:proofErr w:type="gram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лучи (315-400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нм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) проникают глубоко в дерму, повреждают коллагеновые и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эластиновые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волокна, стимулируют синтез аномальных эластических масс. УФ-B (280-315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нм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) повреждает ДНК клеток эпидермиса и запускает образование активных форм кислорода.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 Основные проявления:</w:t>
      </w:r>
    </w:p>
    <w:p w:rsidR="0005146F" w:rsidRDefault="0005146F" w:rsidP="0005146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глубокие морщины и потеря эластичности кожи.</w:t>
      </w:r>
    </w:p>
    <w:p w:rsidR="0005146F" w:rsidRDefault="0005146F" w:rsidP="0005146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сухость и грубая текстура.</w:t>
      </w:r>
    </w:p>
    <w:p w:rsidR="0005146F" w:rsidRDefault="0005146F" w:rsidP="0005146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неравномерная пигментация: солнечное лентиго ("печеночные пятна"),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мелазма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.</w:t>
      </w:r>
    </w:p>
    <w:p w:rsidR="0005146F" w:rsidRDefault="0005146F" w:rsidP="0005146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телеангиэктазии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(сосудистые звездочки).</w:t>
      </w:r>
    </w:p>
    <w:p w:rsidR="0005146F" w:rsidRDefault="0005146F" w:rsidP="0005146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актинический кератоз (может привести к раку).</w:t>
      </w:r>
    </w:p>
    <w:p w:rsidR="0005146F" w:rsidRDefault="0005146F" w:rsidP="0005146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Повышенный риск рака кожи:</w:t>
      </w:r>
    </w:p>
    <w:p w:rsidR="0005146F" w:rsidRDefault="0005146F" w:rsidP="0005146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Меланома: наиболее опасная злокачественная опухоль кожи, развивающаяся из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меланоцитов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. Главный фактор риска – интенсивное, эпизодическое УФ-облучение (солнечные ожоги), особенно в детстве и подростковом возрасте.</w:t>
      </w:r>
    </w:p>
    <w:p w:rsidR="0005146F" w:rsidRDefault="0005146F" w:rsidP="0005146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Немеланомный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рак кожи (НМРК): включает базальноклеточный (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базалиома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) и плоскоклеточный рак. Развиваются чаще на открытых солнцу участках. Основной фактор риска – хроническое, кумулятивное УФ-облучение в течение жизни.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Базалиома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– самый частый, менее агрессивный. Плоскоклеточный рак – может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метастазировать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.</w:t>
      </w:r>
    </w:p>
    <w:p w:rsidR="0005146F" w:rsidRDefault="0005146F" w:rsidP="0005146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Солнечные ожоги (Эритема):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Механизм: возникает острое воспаление кожи, вызванное преимущественно УФ-B излучением. Повреждает ДНК клеток эпидермиса, вызывает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апоптоз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(гибель)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кератиноцитов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("клетки солнечного ожога").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Риски:</w:t>
      </w:r>
    </w:p>
    <w:p w:rsidR="0005146F" w:rsidRDefault="0005146F" w:rsidP="0005146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Сильная боль, отек, волдыри.</w:t>
      </w:r>
    </w:p>
    <w:p w:rsidR="0005146F" w:rsidRDefault="0005146F" w:rsidP="0005146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Значительно повышает риск развития меланомы и плоскоклеточного рака кожи в будущем (особенно у детей).</w:t>
      </w:r>
    </w:p>
    <w:p w:rsidR="0005146F" w:rsidRDefault="0005146F" w:rsidP="0005146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Может приводить к вторичной инфекции, обезвоживанию, тепловому удару.</w:t>
      </w:r>
    </w:p>
    <w:p w:rsidR="0005146F" w:rsidRDefault="0005146F" w:rsidP="0005146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Ускоряет фотостарение. </w:t>
      </w:r>
    </w:p>
    <w:p w:rsidR="0005146F" w:rsidRDefault="0005146F" w:rsidP="000514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Style w:val="a4"/>
          <w:rFonts w:ascii="GraphikLCG-Medium" w:hAnsi="GraphikLCG-Medium" w:cs="Arial"/>
          <w:b w:val="0"/>
          <w:bCs w:val="0"/>
          <w:color w:val="BE216A"/>
          <w:spacing w:val="2"/>
          <w:sz w:val="23"/>
          <w:szCs w:val="23"/>
        </w:rPr>
        <w:t>Анализы контроль пользы и рисков по витамину D</w:t>
      </w:r>
    </w:p>
    <w:p w:rsidR="0005146F" w:rsidRDefault="00706AF2" w:rsidP="0005146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hyperlink r:id="rId5" w:history="1">
        <w:r w:rsidR="0005146F">
          <w:rPr>
            <w:rStyle w:val="a8"/>
            <w:rFonts w:ascii="Arial" w:hAnsi="Arial" w:cs="Arial"/>
            <w:color w:val="BE216A"/>
            <w:spacing w:val="2"/>
            <w:sz w:val="23"/>
            <w:szCs w:val="23"/>
          </w:rPr>
          <w:t>Анализ на витамин D</w:t>
        </w:r>
      </w:hyperlink>
      <w:r w:rsidR="0005146F">
        <w:rPr>
          <w:rFonts w:ascii="Arial" w:hAnsi="Arial" w:cs="Arial"/>
          <w:color w:val="403360"/>
          <w:spacing w:val="2"/>
          <w:sz w:val="23"/>
          <w:szCs w:val="23"/>
        </w:rPr>
        <w:t>: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25(OH)D (25-гидроксикальциферол) – основной показатель статуса витамина D в организме. Отражает как поступление с пищей/добавками, так и синтез в коже.</w:t>
      </w:r>
    </w:p>
    <w:p w:rsidR="0005146F" w:rsidRDefault="0005146F" w:rsidP="0005146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Интерпретация результатов исследования:</w:t>
      </w:r>
    </w:p>
    <w:p w:rsidR="0005146F" w:rsidRDefault="0005146F" w:rsidP="000514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Менее 20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нг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/мл - дефицит витамина D;</w:t>
      </w:r>
    </w:p>
    <w:p w:rsidR="0005146F" w:rsidRDefault="0005146F" w:rsidP="000514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21-30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нг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/мл - недостаточность витамина D;</w:t>
      </w:r>
    </w:p>
    <w:p w:rsidR="0005146F" w:rsidRDefault="0005146F" w:rsidP="000514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более 30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нг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/мл - адекватные уровни;</w:t>
      </w:r>
    </w:p>
    <w:p w:rsidR="0005146F" w:rsidRDefault="0005146F" w:rsidP="000514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более 150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нг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/мл - уровни с возможным проявлением токсичности витамина Д.</w:t>
      </w:r>
    </w:p>
    <w:p w:rsidR="0005146F" w:rsidRDefault="0005146F" w:rsidP="000514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Style w:val="a6"/>
          <w:rFonts w:ascii="Arial" w:hAnsi="Arial" w:cs="Arial"/>
          <w:color w:val="403360"/>
          <w:spacing w:val="2"/>
          <w:sz w:val="23"/>
          <w:szCs w:val="23"/>
        </w:rPr>
        <w:t>Нормы по данным Российская ассоциация эндокринологов, "Клинические рекомендации", 2014 г</w:t>
      </w:r>
      <w:r>
        <w:rPr>
          <w:rFonts w:ascii="Arial" w:hAnsi="Arial" w:cs="Arial"/>
          <w:color w:val="403360"/>
          <w:spacing w:val="2"/>
          <w:sz w:val="23"/>
          <w:szCs w:val="23"/>
        </w:rPr>
        <w:t>  </w:t>
      </w:r>
    </w:p>
    <w:p w:rsidR="00706AF2" w:rsidRDefault="00706AF2" w:rsidP="0005146F">
      <w:pPr>
        <w:pStyle w:val="2"/>
        <w:shd w:val="clear" w:color="auto" w:fill="FFFFFF"/>
        <w:rPr>
          <w:rFonts w:ascii="GraphikLCG-Medium" w:hAnsi="GraphikLCG-Medium"/>
          <w:b w:val="0"/>
          <w:bCs w:val="0"/>
          <w:color w:val="403360"/>
          <w:spacing w:val="2"/>
        </w:rPr>
      </w:pPr>
    </w:p>
    <w:p w:rsidR="0005146F" w:rsidRDefault="0005146F" w:rsidP="0005146F">
      <w:pPr>
        <w:pStyle w:val="2"/>
        <w:shd w:val="clear" w:color="auto" w:fill="FFFFFF"/>
        <w:rPr>
          <w:rFonts w:ascii="GraphikLCG-Medium" w:hAnsi="GraphikLCG-Medium"/>
          <w:b w:val="0"/>
          <w:bCs w:val="0"/>
          <w:color w:val="403360"/>
          <w:spacing w:val="2"/>
        </w:rPr>
      </w:pPr>
      <w:r>
        <w:rPr>
          <w:rFonts w:ascii="GraphikLCG-Medium" w:hAnsi="GraphikLCG-Medium"/>
          <w:b w:val="0"/>
          <w:bCs w:val="0"/>
          <w:color w:val="403360"/>
          <w:spacing w:val="2"/>
        </w:rPr>
        <w:lastRenderedPageBreak/>
        <w:t>Когда сдавать анализ на витамин Д</w:t>
      </w:r>
    </w:p>
    <w:p w:rsidR="0005146F" w:rsidRDefault="0005146F" w:rsidP="0005146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Симптомы дефицита (усталость, мышечная слабость, боли в костях/суставах, частые инфекции, депрессивные состояния).</w:t>
      </w:r>
    </w:p>
    <w:p w:rsidR="0005146F" w:rsidRDefault="0005146F" w:rsidP="0005146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Перед началом приема высоких доз витамина D.</w:t>
      </w:r>
    </w:p>
    <w:p w:rsidR="0005146F" w:rsidRDefault="0005146F" w:rsidP="0005146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При заболеваниях, связанных с нарушением всасывания (болезни ЖКТ), ожирении, заболеваниях печени/почек.</w:t>
      </w:r>
    </w:p>
    <w:p w:rsidR="0005146F" w:rsidRDefault="0005146F" w:rsidP="0005146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Пожилым людям, людям с темной кожей (живущим в северных широтах), строгим вегетарианцам/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веганам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>.</w:t>
      </w:r>
    </w:p>
    <w:p w:rsidR="0005146F" w:rsidRDefault="0005146F" w:rsidP="0005146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С целью профилактики для оценки статуса.</w:t>
      </w:r>
    </w:p>
    <w:p w:rsidR="0005146F" w:rsidRDefault="0005146F" w:rsidP="000514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Style w:val="a4"/>
          <w:rFonts w:ascii="GraphikLCG-Medium" w:hAnsi="GraphikLCG-Medium" w:cs="Arial"/>
          <w:b w:val="0"/>
          <w:bCs w:val="0"/>
          <w:color w:val="BE216A"/>
          <w:spacing w:val="2"/>
          <w:sz w:val="23"/>
          <w:szCs w:val="23"/>
        </w:rPr>
        <w:t>Подготовка</w:t>
      </w:r>
      <w:r>
        <w:rPr>
          <w:rFonts w:ascii="Arial" w:hAnsi="Arial" w:cs="Arial"/>
          <w:color w:val="403360"/>
          <w:spacing w:val="2"/>
          <w:sz w:val="23"/>
          <w:szCs w:val="23"/>
        </w:rPr>
        <w:t>: Специальной подготовки не требуется. Кровь можно сдавать в течение дня через 3 часа после необильного приёма пищи. Уровень может быть ниже зимой и выше летом.</w:t>
      </w:r>
    </w:p>
    <w:p w:rsidR="0005146F" w:rsidRDefault="0005146F" w:rsidP="0005146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Маркеры меланомы</w:t>
      </w:r>
    </w:p>
    <w:p w:rsidR="0005146F" w:rsidRDefault="0005146F" w:rsidP="000514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Style w:val="a4"/>
          <w:rFonts w:ascii="GraphikLCG-Medium" w:hAnsi="GraphikLCG-Medium" w:cs="Arial"/>
          <w:b w:val="0"/>
          <w:bCs w:val="0"/>
          <w:color w:val="BE216A"/>
          <w:spacing w:val="2"/>
          <w:sz w:val="23"/>
          <w:szCs w:val="23"/>
        </w:rPr>
        <w:t>Важно</w:t>
      </w:r>
      <w:r>
        <w:rPr>
          <w:rFonts w:ascii="Arial" w:hAnsi="Arial" w:cs="Arial"/>
          <w:color w:val="403360"/>
          <w:spacing w:val="2"/>
          <w:sz w:val="23"/>
          <w:szCs w:val="23"/>
        </w:rPr>
        <w:t>: маркеры используются для мониторинга и оценки прогноза при УЖЕ диагностированной меланоме, не используются для первичной диагностики. Маркеры не являются специфичными, могут повышаться при ряде острых или хронических состояний, не связанных с меланомой.</w:t>
      </w:r>
    </w:p>
    <w:p w:rsidR="0005146F" w:rsidRDefault="00706AF2" w:rsidP="0005146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hyperlink r:id="rId6" w:history="1">
        <w:r w:rsidR="0005146F">
          <w:rPr>
            <w:rStyle w:val="a8"/>
            <w:rFonts w:ascii="Arial" w:hAnsi="Arial" w:cs="Arial"/>
            <w:color w:val="BE216A"/>
            <w:spacing w:val="2"/>
            <w:sz w:val="23"/>
            <w:szCs w:val="23"/>
          </w:rPr>
          <w:t>Белок S100</w:t>
        </w:r>
      </w:hyperlink>
      <w:r w:rsidR="0005146F">
        <w:rPr>
          <w:rFonts w:ascii="Arial" w:hAnsi="Arial" w:cs="Arial"/>
          <w:color w:val="403360"/>
          <w:spacing w:val="2"/>
          <w:sz w:val="23"/>
          <w:szCs w:val="23"/>
        </w:rPr>
        <w:t>: чувствительный, но неспецифический маркер. Повышается при метастатической меланоме, а также при других опухолях и воспалительных состояниях. Используется для контроля эффективности лечения и выявления рецидивов.</w:t>
      </w:r>
    </w:p>
    <w:p w:rsidR="0005146F" w:rsidRDefault="00706AF2" w:rsidP="0005146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hyperlink r:id="rId7" w:history="1">
        <w:r w:rsidR="0005146F">
          <w:rPr>
            <w:rStyle w:val="a8"/>
            <w:rFonts w:ascii="Arial" w:hAnsi="Arial" w:cs="Arial"/>
            <w:color w:val="BE216A"/>
            <w:spacing w:val="2"/>
            <w:sz w:val="23"/>
            <w:szCs w:val="23"/>
          </w:rPr>
          <w:t>ЛДГ (</w:t>
        </w:r>
        <w:proofErr w:type="spellStart"/>
        <w:r w:rsidR="0005146F">
          <w:rPr>
            <w:rStyle w:val="a8"/>
            <w:rFonts w:ascii="Arial" w:hAnsi="Arial" w:cs="Arial"/>
            <w:color w:val="BE216A"/>
            <w:spacing w:val="2"/>
            <w:sz w:val="23"/>
            <w:szCs w:val="23"/>
          </w:rPr>
          <w:t>Лактатдегидрогеназа</w:t>
        </w:r>
        <w:proofErr w:type="spellEnd"/>
        <w:r w:rsidR="0005146F">
          <w:rPr>
            <w:rStyle w:val="a8"/>
            <w:rFonts w:ascii="Arial" w:hAnsi="Arial" w:cs="Arial"/>
            <w:color w:val="BE216A"/>
            <w:spacing w:val="2"/>
            <w:sz w:val="23"/>
            <w:szCs w:val="23"/>
          </w:rPr>
          <w:t>)</w:t>
        </w:r>
      </w:hyperlink>
      <w:r w:rsidR="0005146F">
        <w:rPr>
          <w:rFonts w:ascii="Arial" w:hAnsi="Arial" w:cs="Arial"/>
          <w:color w:val="403360"/>
          <w:spacing w:val="2"/>
          <w:sz w:val="23"/>
          <w:szCs w:val="23"/>
        </w:rPr>
        <w:t>: фермент, уровень которого в крови повышается при повреждении тканей. Является важным прогностическим фактором при меланоме. Высокий уровень ЛДГ ассоциирован с прогрессированием.</w:t>
      </w:r>
    </w:p>
    <w:p w:rsidR="0005146F" w:rsidRDefault="0005146F" w:rsidP="0005146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>Гистологическое исследование - "золотой стандарт" диагностики меланомы и других опухолей кожи, самый точный метод исследования. Врач (дерматолог, хирург) полностью удаляет подозрительное новообразование и отправляет на исследование патологоанатому.</w:t>
      </w:r>
    </w:p>
    <w:p w:rsidR="0005146F" w:rsidRDefault="0005146F" w:rsidP="0005146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03360"/>
          <w:spacing w:val="2"/>
          <w:sz w:val="23"/>
          <w:szCs w:val="23"/>
        </w:rPr>
      </w:pPr>
      <w:r>
        <w:rPr>
          <w:rFonts w:ascii="Arial" w:hAnsi="Arial" w:cs="Arial"/>
          <w:color w:val="403360"/>
          <w:spacing w:val="2"/>
          <w:sz w:val="23"/>
          <w:szCs w:val="23"/>
        </w:rPr>
        <w:t xml:space="preserve">Генетические тесты. BRAF V600 / NRAS: Исследование ткани опухоли при УЖЕ диагностированной меланоме. Наличие определенных мутаций (особенно BRAF V600E/K) определяет возможность назначения </w:t>
      </w:r>
      <w:proofErr w:type="spellStart"/>
      <w:r>
        <w:rPr>
          <w:rFonts w:ascii="Arial" w:hAnsi="Arial" w:cs="Arial"/>
          <w:color w:val="403360"/>
          <w:spacing w:val="2"/>
          <w:sz w:val="23"/>
          <w:szCs w:val="23"/>
        </w:rPr>
        <w:t>таргетной</w:t>
      </w:r>
      <w:proofErr w:type="spellEnd"/>
      <w:r>
        <w:rPr>
          <w:rFonts w:ascii="Arial" w:hAnsi="Arial" w:cs="Arial"/>
          <w:color w:val="403360"/>
          <w:spacing w:val="2"/>
          <w:sz w:val="23"/>
          <w:szCs w:val="23"/>
        </w:rPr>
        <w:t xml:space="preserve"> терапии, которая высокоэффективна у таких пациентов.</w:t>
      </w:r>
    </w:p>
    <w:p w:rsidR="001E67AC" w:rsidRDefault="001E67A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9E2895" w:rsidRPr="0039005E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05146F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организации </w:t>
            </w:r>
          </w:p>
          <w:p w:rsidR="0039005E" w:rsidRPr="000E3E88" w:rsidRDefault="0015114B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Николаева</w:t>
            </w:r>
            <w:r w:rsidR="0039005E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  <w:p w:rsidR="0039005E" w:rsidRDefault="0039005E" w:rsidP="0039005E">
            <w:pPr>
              <w:jc w:val="both"/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</w:p>
        </w:tc>
      </w:tr>
    </w:tbl>
    <w:p w:rsidR="00567E6B" w:rsidRDefault="00567E6B" w:rsidP="003E2270"/>
    <w:sectPr w:rsidR="00567E6B" w:rsidSect="0015114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raphikLCG-Medium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ED9"/>
    <w:multiLevelType w:val="multilevel"/>
    <w:tmpl w:val="FE1E7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D75E2"/>
    <w:multiLevelType w:val="multilevel"/>
    <w:tmpl w:val="4F9692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31AE5"/>
    <w:multiLevelType w:val="multilevel"/>
    <w:tmpl w:val="F79E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73D79"/>
    <w:multiLevelType w:val="multilevel"/>
    <w:tmpl w:val="3CBA27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B07C6B"/>
    <w:multiLevelType w:val="multilevel"/>
    <w:tmpl w:val="B6E2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B7F17"/>
    <w:multiLevelType w:val="multilevel"/>
    <w:tmpl w:val="C106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0F59FE"/>
    <w:multiLevelType w:val="multilevel"/>
    <w:tmpl w:val="6F9A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D3E4C"/>
    <w:multiLevelType w:val="multilevel"/>
    <w:tmpl w:val="6FFC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3B01DB"/>
    <w:multiLevelType w:val="multilevel"/>
    <w:tmpl w:val="D58CDA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232A2E"/>
    <w:multiLevelType w:val="multilevel"/>
    <w:tmpl w:val="AA54E6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675FCD"/>
    <w:multiLevelType w:val="multilevel"/>
    <w:tmpl w:val="0F3AA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C6A0C"/>
    <w:multiLevelType w:val="multilevel"/>
    <w:tmpl w:val="216471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60FF1"/>
    <w:multiLevelType w:val="multilevel"/>
    <w:tmpl w:val="60CE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9"/>
  </w:num>
  <w:num w:numId="5">
    <w:abstractNumId w:val="0"/>
  </w:num>
  <w:num w:numId="6">
    <w:abstractNumId w:val="6"/>
  </w:num>
  <w:num w:numId="7">
    <w:abstractNumId w:val="11"/>
  </w:num>
  <w:num w:numId="8">
    <w:abstractNumId w:val="13"/>
  </w:num>
  <w:num w:numId="9">
    <w:abstractNumId w:val="10"/>
  </w:num>
  <w:num w:numId="10">
    <w:abstractNumId w:val="7"/>
  </w:num>
  <w:num w:numId="11">
    <w:abstractNumId w:val="16"/>
  </w:num>
  <w:num w:numId="12">
    <w:abstractNumId w:val="5"/>
  </w:num>
  <w:num w:numId="13">
    <w:abstractNumId w:val="3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41630"/>
    <w:rsid w:val="0005146F"/>
    <w:rsid w:val="00053FB2"/>
    <w:rsid w:val="000E3E88"/>
    <w:rsid w:val="0015114B"/>
    <w:rsid w:val="001E67AC"/>
    <w:rsid w:val="00233276"/>
    <w:rsid w:val="0039005E"/>
    <w:rsid w:val="003B3923"/>
    <w:rsid w:val="003E2270"/>
    <w:rsid w:val="003E7F87"/>
    <w:rsid w:val="00406343"/>
    <w:rsid w:val="00441336"/>
    <w:rsid w:val="00567E6B"/>
    <w:rsid w:val="00572C5F"/>
    <w:rsid w:val="00697F0C"/>
    <w:rsid w:val="00706AF2"/>
    <w:rsid w:val="007E4C24"/>
    <w:rsid w:val="009E2895"/>
    <w:rsid w:val="00C60C36"/>
    <w:rsid w:val="00EC0431"/>
    <w:rsid w:val="00EE04E8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F54C4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3F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53F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706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6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dl.ru/analizy-i-tseny/msk/laktatdegidrogenaza-l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dl.ru/analizy-i-tseny/msk/belok-s-100" TargetMode="External"/><Relationship Id="rId5" Type="http://schemas.openxmlformats.org/officeDocument/2006/relationships/hyperlink" Target="https://kdl.ru/analizy-i-tseny/msk/25-on-vitamin-d-summarniy-kaltsifero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НЧКСанГиг2</cp:lastModifiedBy>
  <cp:revision>21</cp:revision>
  <dcterms:created xsi:type="dcterms:W3CDTF">2024-06-10T05:23:00Z</dcterms:created>
  <dcterms:modified xsi:type="dcterms:W3CDTF">2025-07-09T06:07:00Z</dcterms:modified>
</cp:coreProperties>
</file>