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2B" w:rsidRPr="0025059F" w:rsidRDefault="000C1DF6">
      <w:pPr>
        <w:pStyle w:val="a4"/>
        <w:rPr>
          <w:sz w:val="24"/>
          <w:szCs w:val="24"/>
        </w:rPr>
      </w:pPr>
      <w:r w:rsidRPr="0025059F">
        <w:rPr>
          <w:sz w:val="24"/>
          <w:szCs w:val="24"/>
        </w:rPr>
        <w:t>ИНФЕКЦИОННЫЙ</w:t>
      </w:r>
      <w:r w:rsidRPr="0025059F">
        <w:rPr>
          <w:spacing w:val="-4"/>
          <w:sz w:val="24"/>
          <w:szCs w:val="24"/>
        </w:rPr>
        <w:t xml:space="preserve"> </w:t>
      </w:r>
      <w:r w:rsidRPr="0025059F">
        <w:rPr>
          <w:sz w:val="24"/>
          <w:szCs w:val="24"/>
        </w:rPr>
        <w:t>МОНОНУКЛЕОЗ</w:t>
      </w:r>
    </w:p>
    <w:p w:rsidR="0090462B" w:rsidRDefault="0090462B">
      <w:pPr>
        <w:pStyle w:val="1"/>
        <w:spacing w:before="0" w:line="273" w:lineRule="exact"/>
        <w:ind w:left="1176"/>
      </w:pPr>
    </w:p>
    <w:p w:rsidR="0090462B" w:rsidRDefault="000C1DF6" w:rsidP="0025059F">
      <w:pPr>
        <w:pStyle w:val="1"/>
        <w:spacing w:before="7" w:line="237" w:lineRule="auto"/>
        <w:ind w:left="142" w:right="106" w:firstLine="709"/>
        <w:jc w:val="both"/>
        <w:rPr>
          <w:b w:val="0"/>
          <w:i/>
        </w:rPr>
      </w:pPr>
      <w:r>
        <w:t>Инфекционный</w:t>
      </w:r>
      <w:r>
        <w:rPr>
          <w:spacing w:val="1"/>
        </w:rPr>
        <w:t xml:space="preserve"> </w:t>
      </w:r>
      <w:r>
        <w:t>мононуклеоз</w:t>
      </w:r>
      <w:r>
        <w:rPr>
          <w:spacing w:val="1"/>
        </w:rPr>
        <w:t xml:space="preserve"> </w:t>
      </w:r>
      <w:r>
        <w:t>(ИМ)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вирусное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лихорадкой,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ротоглотки,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печени,</w:t>
      </w:r>
      <w:r>
        <w:rPr>
          <w:spacing w:val="-1"/>
        </w:rPr>
        <w:t xml:space="preserve"> </w:t>
      </w:r>
      <w:r>
        <w:t>селезёнки и</w:t>
      </w:r>
      <w:r>
        <w:rPr>
          <w:spacing w:val="-1"/>
        </w:rPr>
        <w:t xml:space="preserve"> </w:t>
      </w:r>
      <w:r>
        <w:t>своеобразными изменениями</w:t>
      </w:r>
      <w:r>
        <w:rPr>
          <w:spacing w:val="-1"/>
        </w:rPr>
        <w:t xml:space="preserve"> </w:t>
      </w:r>
      <w:r>
        <w:t>гемограммы</w:t>
      </w:r>
      <w:r>
        <w:rPr>
          <w:b w:val="0"/>
          <w:i/>
        </w:rPr>
        <w:t>.</w:t>
      </w:r>
    </w:p>
    <w:p w:rsidR="0090462B" w:rsidRDefault="000C1DF6">
      <w:pPr>
        <w:spacing w:before="126" w:line="274" w:lineRule="exact"/>
        <w:ind w:left="1178" w:right="1181"/>
        <w:jc w:val="center"/>
        <w:rPr>
          <w:b/>
          <w:sz w:val="24"/>
        </w:rPr>
      </w:pPr>
      <w:r>
        <w:rPr>
          <w:b/>
          <w:sz w:val="24"/>
        </w:rPr>
        <w:t>ЭТИОЛОГИЯ.</w:t>
      </w:r>
    </w:p>
    <w:p w:rsidR="0090462B" w:rsidRPr="0025059F" w:rsidRDefault="000C1DF6" w:rsidP="0025059F">
      <w:pPr>
        <w:pStyle w:val="a3"/>
        <w:spacing w:line="242" w:lineRule="auto"/>
        <w:ind w:right="114"/>
      </w:pPr>
      <w:r>
        <w:t>Большинство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мононуклеоза</w:t>
      </w:r>
      <w:r>
        <w:rPr>
          <w:spacing w:val="1"/>
        </w:rPr>
        <w:t xml:space="preserve"> </w:t>
      </w:r>
      <w:r>
        <w:t>признают</w:t>
      </w:r>
      <w:r>
        <w:rPr>
          <w:spacing w:val="-1"/>
        </w:rPr>
        <w:t xml:space="preserve"> </w:t>
      </w:r>
      <w:r>
        <w:t>этиологическую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ВГЧ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вируса</w:t>
      </w:r>
      <w:r>
        <w:rPr>
          <w:spacing w:val="-1"/>
        </w:rPr>
        <w:t xml:space="preserve"> </w:t>
      </w:r>
      <w:r>
        <w:t>Эпштейна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Барр</w:t>
      </w:r>
      <w:proofErr w:type="spellEnd"/>
      <w:r>
        <w:rPr>
          <w:spacing w:val="-1"/>
        </w:rPr>
        <w:t xml:space="preserve"> </w:t>
      </w:r>
      <w:r>
        <w:t>(EBV</w:t>
      </w:r>
      <w:r>
        <w:rPr>
          <w:rFonts w:ascii="Symbol" w:hAnsi="Symbol"/>
        </w:rPr>
        <w:t></w:t>
      </w:r>
      <w:r>
        <w:t>ВЭБ).</w:t>
      </w:r>
      <w:r w:rsidR="0025059F">
        <w:t xml:space="preserve"> Вирус </w:t>
      </w:r>
      <w:r>
        <w:t>выз</w:t>
      </w:r>
      <w:r>
        <w:t>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инфекционный</w:t>
      </w:r>
      <w:r>
        <w:rPr>
          <w:spacing w:val="1"/>
        </w:rPr>
        <w:t xml:space="preserve"> </w:t>
      </w:r>
      <w:r>
        <w:t>мононуклеоз,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этиологическим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(</w:t>
      </w:r>
      <w:proofErr w:type="spellStart"/>
      <w:r>
        <w:t>лимфома</w:t>
      </w:r>
      <w:proofErr w:type="spellEnd"/>
      <w:r>
        <w:rPr>
          <w:spacing w:val="1"/>
        </w:rPr>
        <w:t xml:space="preserve"> </w:t>
      </w:r>
      <w:proofErr w:type="spellStart"/>
      <w:r>
        <w:t>Беркитта</w:t>
      </w:r>
      <w:proofErr w:type="spellEnd"/>
      <w:r>
        <w:t>,</w:t>
      </w:r>
      <w:r>
        <w:rPr>
          <w:spacing w:val="1"/>
        </w:rPr>
        <w:t xml:space="preserve"> </w:t>
      </w:r>
      <w:r>
        <w:t>карцинома</w:t>
      </w:r>
      <w:r>
        <w:rPr>
          <w:spacing w:val="1"/>
        </w:rPr>
        <w:t xml:space="preserve"> </w:t>
      </w:r>
      <w:r>
        <w:t>носоглотки,</w:t>
      </w:r>
      <w:r>
        <w:rPr>
          <w:spacing w:val="1"/>
        </w:rPr>
        <w:t xml:space="preserve"> </w:t>
      </w:r>
      <w:r>
        <w:t>лимфогранулематоз),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обнаружению</w:t>
      </w:r>
      <w:r>
        <w:rPr>
          <w:spacing w:val="1"/>
        </w:rPr>
        <w:t xml:space="preserve"> </w:t>
      </w:r>
      <w:r>
        <w:t>антител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вирусу</w:t>
      </w:r>
      <w:r>
        <w:rPr>
          <w:spacing w:val="-6"/>
        </w:rPr>
        <w:t xml:space="preserve"> </w:t>
      </w:r>
      <w:r>
        <w:t>EB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волчанкой и</w:t>
      </w:r>
      <w:r>
        <w:rPr>
          <w:spacing w:val="-1"/>
        </w:rPr>
        <w:t xml:space="preserve"> </w:t>
      </w:r>
      <w:proofErr w:type="spellStart"/>
      <w:r>
        <w:t>саркоидозом</w:t>
      </w:r>
      <w:proofErr w:type="spellEnd"/>
      <w:r>
        <w:rPr>
          <w:i/>
        </w:rPr>
        <w:t>.</w:t>
      </w:r>
    </w:p>
    <w:p w:rsidR="0090462B" w:rsidRDefault="000C1DF6">
      <w:pPr>
        <w:pStyle w:val="1"/>
        <w:spacing w:before="117"/>
        <w:ind w:right="1179"/>
      </w:pPr>
      <w:r>
        <w:t>ЭПИДЕМИОЛОГИЯ.</w:t>
      </w:r>
    </w:p>
    <w:p w:rsidR="0090462B" w:rsidRDefault="000C1DF6">
      <w:pPr>
        <w:pStyle w:val="a3"/>
        <w:ind w:right="108"/>
      </w:pPr>
      <w:r>
        <w:rPr>
          <w:b/>
          <w:i/>
        </w:rPr>
        <w:t>Источник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инфекции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вирусоноситель.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b/>
        </w:rPr>
        <w:t>передаётся</w:t>
      </w:r>
      <w:r>
        <w:rPr>
          <w:b/>
          <w:spacing w:val="1"/>
        </w:rPr>
        <w:t xml:space="preserve"> </w:t>
      </w:r>
      <w:r>
        <w:rPr>
          <w:b/>
        </w:rPr>
        <w:t>воздушно-капельным</w:t>
      </w:r>
      <w:r>
        <w:rPr>
          <w:b/>
          <w:spacing w:val="1"/>
        </w:rPr>
        <w:t xml:space="preserve"> </w:t>
      </w:r>
      <w:r>
        <w:rPr>
          <w:b/>
        </w:rPr>
        <w:t>путём</w:t>
      </w:r>
      <w:r>
        <w:t>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контактного,</w:t>
      </w:r>
      <w:r>
        <w:rPr>
          <w:spacing w:val="1"/>
        </w:rPr>
        <w:t xml:space="preserve"> </w:t>
      </w:r>
      <w:r>
        <w:t>алиментарного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трансфузионного</w:t>
      </w:r>
      <w:proofErr w:type="spellEnd"/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proofErr w:type="spellStart"/>
      <w:r>
        <w:t>контагиозность</w:t>
      </w:r>
      <w:proofErr w:type="spellEnd"/>
      <w:r>
        <w:t>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заражению</w:t>
      </w:r>
      <w:r>
        <w:rPr>
          <w:spacing w:val="1"/>
        </w:rPr>
        <w:t xml:space="preserve"> </w:t>
      </w:r>
      <w:r>
        <w:t>скученность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</w:t>
      </w:r>
      <w:r>
        <w:t>юдей.</w:t>
      </w:r>
    </w:p>
    <w:p w:rsidR="0025059F" w:rsidRDefault="000C1DF6" w:rsidP="0025059F">
      <w:pPr>
        <w:pStyle w:val="a3"/>
        <w:ind w:right="104"/>
      </w:pPr>
      <w:r>
        <w:t>Инфекционный</w:t>
      </w:r>
      <w:r>
        <w:rPr>
          <w:spacing w:val="1"/>
        </w:rPr>
        <w:t xml:space="preserve"> </w:t>
      </w:r>
      <w:r>
        <w:t>мононуклеоз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и лиц молодого возраста, после 35 – 40 лет жизни встречается как исключение.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спорадических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максимумом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вспышки этой</w:t>
      </w:r>
      <w:r>
        <w:rPr>
          <w:spacing w:val="-2"/>
        </w:rPr>
        <w:t xml:space="preserve"> </w:t>
      </w:r>
      <w:r>
        <w:t>болезни.</w:t>
      </w:r>
    </w:p>
    <w:p w:rsidR="0090462B" w:rsidRDefault="000C1DF6" w:rsidP="0025059F">
      <w:pPr>
        <w:pStyle w:val="1"/>
        <w:ind w:left="0" w:right="1179"/>
      </w:pPr>
      <w:r>
        <w:t>К</w:t>
      </w:r>
      <w:r>
        <w:t>ЛИНИКА.</w:t>
      </w:r>
    </w:p>
    <w:p w:rsidR="0090462B" w:rsidRDefault="000C1DF6">
      <w:pPr>
        <w:spacing w:line="274" w:lineRule="exact"/>
        <w:ind w:left="810"/>
        <w:jc w:val="both"/>
        <w:rPr>
          <w:sz w:val="24"/>
        </w:rPr>
      </w:pPr>
      <w:r>
        <w:rPr>
          <w:b/>
          <w:i/>
          <w:sz w:val="24"/>
        </w:rPr>
        <w:t>Инкубационный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"/>
          <w:sz w:val="24"/>
        </w:rPr>
        <w:t xml:space="preserve"> </w:t>
      </w:r>
      <w:r>
        <w:rPr>
          <w:sz w:val="24"/>
        </w:rPr>
        <w:t>5–12</w:t>
      </w:r>
      <w:r>
        <w:rPr>
          <w:spacing w:val="4"/>
          <w:sz w:val="24"/>
        </w:rPr>
        <w:t xml:space="preserve"> </w:t>
      </w:r>
      <w:r>
        <w:rPr>
          <w:sz w:val="24"/>
        </w:rPr>
        <w:t>дней,</w:t>
      </w:r>
      <w:r>
        <w:rPr>
          <w:spacing w:val="4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увеличиваться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30–</w:t>
      </w:r>
    </w:p>
    <w:p w:rsidR="0025059F" w:rsidRPr="0025059F" w:rsidRDefault="000C1DF6" w:rsidP="0025059F">
      <w:pPr>
        <w:shd w:val="clear" w:color="auto" w:fill="FFFFFF"/>
        <w:jc w:val="both"/>
        <w:rPr>
          <w:color w:val="263238"/>
          <w:sz w:val="24"/>
          <w:szCs w:val="24"/>
          <w:lang w:eastAsia="ru-RU"/>
        </w:rPr>
      </w:pPr>
      <w:r>
        <w:t>45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продромального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 w:rsidR="0025059F" w:rsidRPr="0025059F">
        <w:rPr>
          <w:color w:val="263238"/>
          <w:sz w:val="24"/>
          <w:szCs w:val="24"/>
          <w:lang w:eastAsia="ru-RU"/>
        </w:rPr>
        <w:t>В начале болезни температура чаще субфебрильная, в разгаре заболевания может достигать 38,5-40°С, спустя несколько дней вновь снижается до субфебрильного уровня. Длительность лихорадочного периода может достигать 4 недель или даже больше.</w:t>
      </w:r>
    </w:p>
    <w:p w:rsidR="0025059F" w:rsidRPr="0025059F" w:rsidRDefault="0025059F" w:rsidP="0025059F">
      <w:pPr>
        <w:widowControl/>
        <w:shd w:val="clear" w:color="auto" w:fill="FFFFFF"/>
        <w:autoSpaceDE/>
        <w:autoSpaceDN/>
        <w:ind w:firstLine="709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Также характерным симптомом является увеличение небных миндалин, иногда настолько выраженное, что ротовое дыхание может быть затруднено. На 3-7 день болезни на миндалинах могут появиться налеты, это обычно сопровождается сильной болью в горле и значительным повышением температуры.</w:t>
      </w:r>
    </w:p>
    <w:p w:rsidR="0025059F" w:rsidRPr="0025059F" w:rsidRDefault="0025059F" w:rsidP="0025059F">
      <w:pPr>
        <w:widowControl/>
        <w:shd w:val="clear" w:color="auto" w:fill="FFFFFF"/>
        <w:autoSpaceDE/>
        <w:autoSpaceDN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Увеличение лимфатических узлов – постоянный симптом в случае «классического» течения инфекционного мононуклеоза. Чаще всего это шейные лимфоузлы, но могут присоединиться и затылочные, подчелюстные, другие группы узлов. Данный симптом сохраняется длительно: от 3-4 недель до 2-3 месяцев.</w:t>
      </w:r>
    </w:p>
    <w:p w:rsidR="0025059F" w:rsidRPr="0025059F" w:rsidRDefault="0025059F" w:rsidP="0025059F">
      <w:pPr>
        <w:widowControl/>
        <w:shd w:val="clear" w:color="auto" w:fill="FFFFFF"/>
        <w:autoSpaceDE/>
        <w:autoSpaceDN/>
        <w:ind w:firstLine="709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 xml:space="preserve">Помимо лимфоузлов, также увеличиваются печень и селезенка (это называется </w:t>
      </w:r>
      <w:proofErr w:type="spellStart"/>
      <w:r w:rsidRPr="0025059F">
        <w:rPr>
          <w:color w:val="263238"/>
          <w:sz w:val="24"/>
          <w:szCs w:val="24"/>
          <w:lang w:eastAsia="ru-RU"/>
        </w:rPr>
        <w:t>гепатолиенальный</w:t>
      </w:r>
      <w:proofErr w:type="spellEnd"/>
      <w:r w:rsidRPr="0025059F">
        <w:rPr>
          <w:color w:val="263238"/>
          <w:sz w:val="24"/>
          <w:szCs w:val="24"/>
          <w:lang w:eastAsia="ru-RU"/>
        </w:rPr>
        <w:t xml:space="preserve"> синдром), в крови появляются характерные для этой болезни клетки – атипичные </w:t>
      </w:r>
      <w:proofErr w:type="spellStart"/>
      <w:r w:rsidRPr="0025059F">
        <w:rPr>
          <w:color w:val="263238"/>
          <w:sz w:val="24"/>
          <w:szCs w:val="24"/>
          <w:lang w:eastAsia="ru-RU"/>
        </w:rPr>
        <w:t>мононуклеары</w:t>
      </w:r>
      <w:proofErr w:type="spellEnd"/>
      <w:r w:rsidRPr="0025059F">
        <w:rPr>
          <w:color w:val="263238"/>
          <w:sz w:val="24"/>
          <w:szCs w:val="24"/>
          <w:lang w:eastAsia="ru-RU"/>
        </w:rPr>
        <w:t>.</w:t>
      </w:r>
    </w:p>
    <w:p w:rsidR="0025059F" w:rsidRPr="0025059F" w:rsidRDefault="0025059F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К еще одной особенности мононуклеоза относят очень выраженную мышечную слабость.</w:t>
      </w:r>
    </w:p>
    <w:p w:rsidR="0090462B" w:rsidRDefault="000C1DF6" w:rsidP="0025059F">
      <w:pPr>
        <w:pStyle w:val="a3"/>
        <w:ind w:right="105" w:firstLine="0"/>
      </w:pPr>
      <w:r>
        <w:t>Осложнения</w:t>
      </w:r>
      <w:r>
        <w:rPr>
          <w:spacing w:val="-2"/>
        </w:rPr>
        <w:t xml:space="preserve"> </w:t>
      </w:r>
      <w:r>
        <w:t>редки.</w:t>
      </w:r>
      <w:r w:rsidR="0025059F">
        <w:t xml:space="preserve"> </w:t>
      </w:r>
      <w:r>
        <w:t>Н</w:t>
      </w:r>
      <w:r>
        <w:t>аибольшее значение среди осложнений имею</w:t>
      </w:r>
      <w:r w:rsidR="0025059F">
        <w:t>т отиты, паратонзиллиты, синуси</w:t>
      </w:r>
      <w:r>
        <w:t>ты,</w:t>
      </w:r>
      <w:r>
        <w:rPr>
          <w:spacing w:val="9"/>
        </w:rPr>
        <w:t xml:space="preserve"> </w:t>
      </w:r>
      <w:r>
        <w:t>пневмонии.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единичных</w:t>
      </w:r>
      <w:r>
        <w:rPr>
          <w:spacing w:val="10"/>
        </w:rPr>
        <w:t xml:space="preserve"> </w:t>
      </w:r>
      <w:r>
        <w:t>случаях</w:t>
      </w:r>
      <w:r>
        <w:rPr>
          <w:spacing w:val="10"/>
        </w:rPr>
        <w:t xml:space="preserve"> </w:t>
      </w:r>
      <w:r>
        <w:t>встречаются</w:t>
      </w:r>
      <w:r>
        <w:rPr>
          <w:spacing w:val="9"/>
        </w:rPr>
        <w:t xml:space="preserve"> </w:t>
      </w:r>
      <w:r>
        <w:t>разрывы</w:t>
      </w:r>
      <w:r>
        <w:rPr>
          <w:spacing w:val="8"/>
        </w:rPr>
        <w:t xml:space="preserve"> </w:t>
      </w:r>
      <w:r>
        <w:t>селезёнки,</w:t>
      </w:r>
      <w:r>
        <w:rPr>
          <w:spacing w:val="8"/>
        </w:rPr>
        <w:t xml:space="preserve"> </w:t>
      </w:r>
      <w:r>
        <w:t>острая</w:t>
      </w:r>
      <w:r>
        <w:rPr>
          <w:spacing w:val="8"/>
        </w:rPr>
        <w:t xml:space="preserve"> </w:t>
      </w:r>
      <w:r>
        <w:t>печёночная</w:t>
      </w:r>
      <w:r>
        <w:rPr>
          <w:spacing w:val="-57"/>
        </w:rPr>
        <w:t xml:space="preserve"> </w:t>
      </w:r>
      <w:r>
        <w:t>недостаточность,</w:t>
      </w:r>
      <w:r>
        <w:rPr>
          <w:spacing w:val="32"/>
        </w:rPr>
        <w:t xml:space="preserve"> </w:t>
      </w:r>
      <w:r>
        <w:t>острая</w:t>
      </w:r>
      <w:r>
        <w:rPr>
          <w:spacing w:val="32"/>
        </w:rPr>
        <w:t xml:space="preserve"> </w:t>
      </w:r>
      <w:r>
        <w:t>гемолитическая</w:t>
      </w:r>
      <w:r>
        <w:rPr>
          <w:spacing w:val="32"/>
        </w:rPr>
        <w:t xml:space="preserve"> </w:t>
      </w:r>
      <w:r>
        <w:t>анеми</w:t>
      </w:r>
      <w:r>
        <w:t>я,</w:t>
      </w:r>
      <w:r>
        <w:rPr>
          <w:spacing w:val="33"/>
        </w:rPr>
        <w:t xml:space="preserve"> </w:t>
      </w:r>
      <w:r>
        <w:t>миокардит,</w:t>
      </w:r>
      <w:r>
        <w:rPr>
          <w:spacing w:val="33"/>
        </w:rPr>
        <w:t xml:space="preserve"> </w:t>
      </w:r>
      <w:proofErr w:type="spellStart"/>
      <w:r>
        <w:t>менингоэнцефалит</w:t>
      </w:r>
      <w:proofErr w:type="spellEnd"/>
      <w:r>
        <w:t>,</w:t>
      </w:r>
      <w:r>
        <w:rPr>
          <w:spacing w:val="31"/>
        </w:rPr>
        <w:t xml:space="preserve"> </w:t>
      </w:r>
      <w:proofErr w:type="gramStart"/>
      <w:r>
        <w:t>неврит,</w:t>
      </w:r>
      <w:r w:rsidR="0025059F">
        <w:t xml:space="preserve"> </w:t>
      </w:r>
      <w:r>
        <w:rPr>
          <w:spacing w:val="-57"/>
        </w:rPr>
        <w:t xml:space="preserve"> </w:t>
      </w:r>
      <w:proofErr w:type="spellStart"/>
      <w:r>
        <w:t>полирадикулоневрит</w:t>
      </w:r>
      <w:proofErr w:type="spellEnd"/>
      <w:proofErr w:type="gramEnd"/>
      <w:r>
        <w:t>.</w:t>
      </w:r>
    </w:p>
    <w:p w:rsidR="0090462B" w:rsidRDefault="0090462B">
      <w:pPr>
        <w:sectPr w:rsidR="0090462B">
          <w:headerReference w:type="default" r:id="rId7"/>
          <w:pgSz w:w="11910" w:h="16840"/>
          <w:pgMar w:top="1040" w:right="740" w:bottom="280" w:left="1600" w:header="710" w:footer="0" w:gutter="0"/>
          <w:cols w:space="720"/>
        </w:sectPr>
      </w:pPr>
    </w:p>
    <w:p w:rsidR="0025059F" w:rsidRPr="0025059F" w:rsidRDefault="0025059F" w:rsidP="0025059F">
      <w:pPr>
        <w:widowControl/>
        <w:shd w:val="clear" w:color="auto" w:fill="FFFFFF"/>
        <w:autoSpaceDE/>
        <w:autoSpaceDN/>
        <w:jc w:val="center"/>
        <w:rPr>
          <w:b/>
          <w:color w:val="263238"/>
          <w:sz w:val="24"/>
          <w:szCs w:val="24"/>
          <w:lang w:eastAsia="ru-RU"/>
        </w:rPr>
      </w:pPr>
      <w:r w:rsidRPr="0025059F">
        <w:rPr>
          <w:b/>
          <w:color w:val="263238"/>
          <w:sz w:val="24"/>
          <w:szCs w:val="24"/>
          <w:lang w:eastAsia="ru-RU"/>
        </w:rPr>
        <w:lastRenderedPageBreak/>
        <w:t>ЛЕЧЕНИЕ</w:t>
      </w:r>
      <w:r>
        <w:rPr>
          <w:b/>
          <w:color w:val="263238"/>
          <w:sz w:val="24"/>
          <w:szCs w:val="24"/>
          <w:lang w:eastAsia="ru-RU"/>
        </w:rPr>
        <w:t>.</w:t>
      </w:r>
    </w:p>
    <w:p w:rsidR="0025059F" w:rsidRDefault="0025059F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Лечение инфекционного мононуклеоза симптоматическое, обычно проводится в амбулаторных условиях. В случае возникновения клинических показаний (осложнения, диагностические трудности) больных госпитализируют.</w:t>
      </w:r>
    </w:p>
    <w:p w:rsidR="0025059F" w:rsidRDefault="0025059F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</w:p>
    <w:p w:rsidR="0025059F" w:rsidRPr="0025059F" w:rsidRDefault="0025059F" w:rsidP="0025059F">
      <w:pPr>
        <w:widowControl/>
        <w:shd w:val="clear" w:color="auto" w:fill="FFFFFF"/>
        <w:autoSpaceDE/>
        <w:autoSpaceDN/>
        <w:ind w:firstLine="567"/>
        <w:jc w:val="center"/>
        <w:rPr>
          <w:b/>
          <w:color w:val="263238"/>
          <w:sz w:val="24"/>
          <w:szCs w:val="24"/>
          <w:lang w:eastAsia="ru-RU"/>
        </w:rPr>
      </w:pPr>
      <w:r w:rsidRPr="0025059F">
        <w:rPr>
          <w:b/>
          <w:color w:val="263238"/>
          <w:sz w:val="24"/>
          <w:szCs w:val="24"/>
          <w:lang w:eastAsia="ru-RU"/>
        </w:rPr>
        <w:t>ПРОФИЛАКТИКА.</w:t>
      </w:r>
    </w:p>
    <w:p w:rsidR="0025059F" w:rsidRPr="0025059F" w:rsidRDefault="0025059F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Вакцины, разработанной для профилактики инфекционного мононуклеоза, не существует.</w:t>
      </w:r>
    </w:p>
    <w:p w:rsidR="0025059F" w:rsidRDefault="0025059F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  <w:r w:rsidRPr="0025059F">
        <w:rPr>
          <w:color w:val="263238"/>
          <w:sz w:val="24"/>
          <w:szCs w:val="24"/>
          <w:lang w:eastAsia="ru-RU"/>
        </w:rPr>
        <w:t>К мерам неспецифической профилактики относят соблюдение элементарных правил личной гигиены.</w:t>
      </w:r>
    </w:p>
    <w:p w:rsidR="007E4213" w:rsidRDefault="007E4213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</w:p>
    <w:p w:rsidR="007E4213" w:rsidRPr="0025059F" w:rsidRDefault="007E4213" w:rsidP="0025059F">
      <w:pPr>
        <w:widowControl/>
        <w:shd w:val="clear" w:color="auto" w:fill="FFFFFF"/>
        <w:autoSpaceDE/>
        <w:autoSpaceDN/>
        <w:ind w:firstLine="567"/>
        <w:jc w:val="both"/>
        <w:rPr>
          <w:color w:val="263238"/>
          <w:sz w:val="24"/>
          <w:szCs w:val="24"/>
          <w:lang w:eastAsia="ru-RU"/>
        </w:rPr>
      </w:pPr>
      <w:bookmarkStart w:id="0" w:name="_GoBack"/>
      <w:bookmarkEnd w:id="0"/>
    </w:p>
    <w:p w:rsidR="007E4213" w:rsidRDefault="007E4213" w:rsidP="007E4213">
      <w:pPr>
        <w:jc w:val="both"/>
      </w:pPr>
      <w:r>
        <w:t>Врач-эпидемиолог</w:t>
      </w:r>
    </w:p>
    <w:p w:rsidR="007E4213" w:rsidRDefault="007E4213" w:rsidP="007E4213">
      <w:pPr>
        <w:jc w:val="both"/>
      </w:pPr>
      <w:r>
        <w:t>Филиала ФБУЗ «Центр гигиены</w:t>
      </w:r>
    </w:p>
    <w:p w:rsidR="007E4213" w:rsidRDefault="007E4213" w:rsidP="007E4213">
      <w:r>
        <w:t xml:space="preserve">и эпидемиологии в ЧР – Чувашии в г. </w:t>
      </w:r>
      <w:proofErr w:type="gramStart"/>
      <w:r>
        <w:t xml:space="preserve">Новочебоксарске»   </w:t>
      </w:r>
      <w:proofErr w:type="gramEnd"/>
      <w:r>
        <w:t xml:space="preserve">                                            Мочалова К.А</w:t>
      </w:r>
    </w:p>
    <w:p w:rsidR="0090462B" w:rsidRDefault="0090462B">
      <w:pPr>
        <w:pStyle w:val="a3"/>
        <w:spacing w:before="115"/>
        <w:ind w:right="110"/>
      </w:pPr>
    </w:p>
    <w:sectPr w:rsidR="0090462B">
      <w:pgSz w:w="11910" w:h="16840"/>
      <w:pgMar w:top="104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F6" w:rsidRDefault="000C1DF6">
      <w:r>
        <w:separator/>
      </w:r>
    </w:p>
  </w:endnote>
  <w:endnote w:type="continuationSeparator" w:id="0">
    <w:p w:rsidR="000C1DF6" w:rsidRDefault="000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F6" w:rsidRDefault="000C1DF6">
      <w:r>
        <w:separator/>
      </w:r>
    </w:p>
  </w:footnote>
  <w:footnote w:type="continuationSeparator" w:id="0">
    <w:p w:rsidR="000C1DF6" w:rsidRDefault="000C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2B" w:rsidRDefault="000C1DF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198.25pt;height:15.3pt;z-index:-15780352;mso-position-horizontal-relative:page;mso-position-vertical-relative:page" filled="f" stroked="f">
          <v:textbox style="mso-next-textbox:#_x0000_s2050" inset="0,0,0,0">
            <w:txbxContent>
              <w:p w:rsidR="0090462B" w:rsidRDefault="0090462B">
                <w:pPr>
                  <w:pStyle w:val="a3"/>
                  <w:spacing w:before="10"/>
                  <w:ind w:left="2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028"/>
    <w:multiLevelType w:val="hybridMultilevel"/>
    <w:tmpl w:val="122C8250"/>
    <w:lvl w:ilvl="0" w:tplc="DD12BED8">
      <w:start w:val="1"/>
      <w:numFmt w:val="upperRoman"/>
      <w:lvlText w:val="%1-"/>
      <w:lvlJc w:val="left"/>
      <w:pPr>
        <w:ind w:left="102" w:hanging="1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1" w:tplc="197E5C54">
      <w:numFmt w:val="bullet"/>
      <w:lvlText w:val="•"/>
      <w:lvlJc w:val="left"/>
      <w:pPr>
        <w:ind w:left="1046" w:hanging="175"/>
      </w:pPr>
      <w:rPr>
        <w:rFonts w:hint="default"/>
        <w:lang w:val="ru-RU" w:eastAsia="en-US" w:bidi="ar-SA"/>
      </w:rPr>
    </w:lvl>
    <w:lvl w:ilvl="2" w:tplc="87484688">
      <w:numFmt w:val="bullet"/>
      <w:lvlText w:val="•"/>
      <w:lvlJc w:val="left"/>
      <w:pPr>
        <w:ind w:left="1993" w:hanging="175"/>
      </w:pPr>
      <w:rPr>
        <w:rFonts w:hint="default"/>
        <w:lang w:val="ru-RU" w:eastAsia="en-US" w:bidi="ar-SA"/>
      </w:rPr>
    </w:lvl>
    <w:lvl w:ilvl="3" w:tplc="50E27DA2">
      <w:numFmt w:val="bullet"/>
      <w:lvlText w:val="•"/>
      <w:lvlJc w:val="left"/>
      <w:pPr>
        <w:ind w:left="2939" w:hanging="175"/>
      </w:pPr>
      <w:rPr>
        <w:rFonts w:hint="default"/>
        <w:lang w:val="ru-RU" w:eastAsia="en-US" w:bidi="ar-SA"/>
      </w:rPr>
    </w:lvl>
    <w:lvl w:ilvl="4" w:tplc="1B841EB8">
      <w:numFmt w:val="bullet"/>
      <w:lvlText w:val="•"/>
      <w:lvlJc w:val="left"/>
      <w:pPr>
        <w:ind w:left="3886" w:hanging="175"/>
      </w:pPr>
      <w:rPr>
        <w:rFonts w:hint="default"/>
        <w:lang w:val="ru-RU" w:eastAsia="en-US" w:bidi="ar-SA"/>
      </w:rPr>
    </w:lvl>
    <w:lvl w:ilvl="5" w:tplc="DD1C2D92">
      <w:numFmt w:val="bullet"/>
      <w:lvlText w:val="•"/>
      <w:lvlJc w:val="left"/>
      <w:pPr>
        <w:ind w:left="4833" w:hanging="175"/>
      </w:pPr>
      <w:rPr>
        <w:rFonts w:hint="default"/>
        <w:lang w:val="ru-RU" w:eastAsia="en-US" w:bidi="ar-SA"/>
      </w:rPr>
    </w:lvl>
    <w:lvl w:ilvl="6" w:tplc="B5FAC0EA">
      <w:numFmt w:val="bullet"/>
      <w:lvlText w:val="•"/>
      <w:lvlJc w:val="left"/>
      <w:pPr>
        <w:ind w:left="5779" w:hanging="175"/>
      </w:pPr>
      <w:rPr>
        <w:rFonts w:hint="default"/>
        <w:lang w:val="ru-RU" w:eastAsia="en-US" w:bidi="ar-SA"/>
      </w:rPr>
    </w:lvl>
    <w:lvl w:ilvl="7" w:tplc="7FD6A634">
      <w:numFmt w:val="bullet"/>
      <w:lvlText w:val="•"/>
      <w:lvlJc w:val="left"/>
      <w:pPr>
        <w:ind w:left="6726" w:hanging="175"/>
      </w:pPr>
      <w:rPr>
        <w:rFonts w:hint="default"/>
        <w:lang w:val="ru-RU" w:eastAsia="en-US" w:bidi="ar-SA"/>
      </w:rPr>
    </w:lvl>
    <w:lvl w:ilvl="8" w:tplc="865E50EA">
      <w:numFmt w:val="bullet"/>
      <w:lvlText w:val="•"/>
      <w:lvlJc w:val="left"/>
      <w:pPr>
        <w:ind w:left="7673" w:hanging="175"/>
      </w:pPr>
      <w:rPr>
        <w:rFonts w:hint="default"/>
        <w:lang w:val="ru-RU" w:eastAsia="en-US" w:bidi="ar-SA"/>
      </w:rPr>
    </w:lvl>
  </w:abstractNum>
  <w:abstractNum w:abstractNumId="1" w15:restartNumberingAfterBreak="0">
    <w:nsid w:val="57227006"/>
    <w:multiLevelType w:val="hybridMultilevel"/>
    <w:tmpl w:val="C3ECE9B2"/>
    <w:lvl w:ilvl="0" w:tplc="D20004E4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CCEB0">
      <w:numFmt w:val="bullet"/>
      <w:lvlText w:val="*"/>
      <w:lvlJc w:val="left"/>
      <w:pPr>
        <w:ind w:left="102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6165DE8">
      <w:numFmt w:val="bullet"/>
      <w:lvlText w:val="•"/>
      <w:lvlJc w:val="left"/>
      <w:pPr>
        <w:ind w:left="1311" w:hanging="317"/>
      </w:pPr>
      <w:rPr>
        <w:rFonts w:hint="default"/>
        <w:lang w:val="ru-RU" w:eastAsia="en-US" w:bidi="ar-SA"/>
      </w:rPr>
    </w:lvl>
    <w:lvl w:ilvl="3" w:tplc="E58CB1D6">
      <w:numFmt w:val="bullet"/>
      <w:lvlText w:val="•"/>
      <w:lvlJc w:val="left"/>
      <w:pPr>
        <w:ind w:left="2343" w:hanging="317"/>
      </w:pPr>
      <w:rPr>
        <w:rFonts w:hint="default"/>
        <w:lang w:val="ru-RU" w:eastAsia="en-US" w:bidi="ar-SA"/>
      </w:rPr>
    </w:lvl>
    <w:lvl w:ilvl="4" w:tplc="0ADE43AA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5" w:tplc="5D40EBA2">
      <w:numFmt w:val="bullet"/>
      <w:lvlText w:val="•"/>
      <w:lvlJc w:val="left"/>
      <w:pPr>
        <w:ind w:left="4407" w:hanging="317"/>
      </w:pPr>
      <w:rPr>
        <w:rFonts w:hint="default"/>
        <w:lang w:val="ru-RU" w:eastAsia="en-US" w:bidi="ar-SA"/>
      </w:rPr>
    </w:lvl>
    <w:lvl w:ilvl="6" w:tplc="4672E9A4">
      <w:numFmt w:val="bullet"/>
      <w:lvlText w:val="•"/>
      <w:lvlJc w:val="left"/>
      <w:pPr>
        <w:ind w:left="5439" w:hanging="317"/>
      </w:pPr>
      <w:rPr>
        <w:rFonts w:hint="default"/>
        <w:lang w:val="ru-RU" w:eastAsia="en-US" w:bidi="ar-SA"/>
      </w:rPr>
    </w:lvl>
    <w:lvl w:ilvl="7" w:tplc="BA803222">
      <w:numFmt w:val="bullet"/>
      <w:lvlText w:val="•"/>
      <w:lvlJc w:val="left"/>
      <w:pPr>
        <w:ind w:left="6470" w:hanging="317"/>
      </w:pPr>
      <w:rPr>
        <w:rFonts w:hint="default"/>
        <w:lang w:val="ru-RU" w:eastAsia="en-US" w:bidi="ar-SA"/>
      </w:rPr>
    </w:lvl>
    <w:lvl w:ilvl="8" w:tplc="CDF6E13A">
      <w:numFmt w:val="bullet"/>
      <w:lvlText w:val="•"/>
      <w:lvlJc w:val="left"/>
      <w:pPr>
        <w:ind w:left="7502" w:hanging="3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462B"/>
    <w:rsid w:val="000C1DF6"/>
    <w:rsid w:val="0025059F"/>
    <w:rsid w:val="007E4213"/>
    <w:rsid w:val="009016D2"/>
    <w:rsid w:val="009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746748"/>
  <w15:docId w15:val="{BDC86EA7-3572-4016-88A7-7D1DDBC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1178" w:right="11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460" w:lineRule="exact"/>
      <w:ind w:left="1178" w:right="118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0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59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0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5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ИНФЕКЦИОННЫЙ МОНОНУКЛЕОЗ</dc:title>
  <dc:creator>x</dc:creator>
  <cp:lastModifiedBy>User</cp:lastModifiedBy>
  <cp:revision>4</cp:revision>
  <dcterms:created xsi:type="dcterms:W3CDTF">2024-02-19T06:07:00Z</dcterms:created>
  <dcterms:modified xsi:type="dcterms:W3CDTF">2024-02-19T06:16:00Z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