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6.0" w:type="dxa"/>
        <w:jc w:val="left"/>
        <w:tblInd w:w="-8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716"/>
        <w:tblGridChange w:id="0">
          <w:tblGrid>
            <w:gridCol w:w="10716"/>
          </w:tblGrid>
        </w:tblGridChange>
      </w:tblGrid>
      <w:tr>
        <w:trPr>
          <w:cantSplit w:val="0"/>
          <w:trHeight w:val="30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80.0" w:type="dxa"/>
              <w:bottom w:w="6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drawing>
                <wp:inline distB="0" distT="0" distL="0" distR="0">
                  <wp:extent cx="3810000" cy="9048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80.0" w:type="dxa"/>
              <w:bottom w:w="6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Приказ Минпросвещения России от 26.07.2022 N 617</w:t>
              <w:br w:type="textWrapping"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21.02.20 Прикладная геодезия"</w:t>
              <w:br w:type="textWrapping"/>
              <w:t xml:space="preserve">(Зарегистрировано в Минюсте России 31.08.2022 N 69867)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80.0" w:type="dxa"/>
              <w:bottom w:w="6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Документ предоставлен </w:t>
            </w:r>
            <w:hyperlink r:id="rId7">
              <w:r w:rsidDel="00000000" w:rsidR="00000000" w:rsidRPr="00000000">
                <w:rPr>
                  <w:rFonts w:ascii="Tahoma" w:cs="Tahoma" w:eastAsia="Tahoma" w:hAnsi="Tahoma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none"/>
                  <w:shd w:fill="auto" w:val="clear"/>
                  <w:vertAlign w:val="baseline"/>
                  <w:rtl w:val="0"/>
                </w:rPr>
                <w:t xml:space="preserve">КонсультантПлюс</w:t>
                <w:br w:type="textWrapping"/>
                <w:br w:type="textWrapping"/>
                <w:t xml:space="preserve">www.consultant.ru</w:t>
              </w:r>
            </w:hyperlink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Дата сохранения: 16.12.2022</w:t>
              <w:br w:type="textWrapping"/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  <w:sectPr>
          <w:pgSz w:h="16838" w:w="11906" w:orient="portrait"/>
          <w:pgMar w:bottom="841" w:top="841" w:left="595" w:right="595" w:header="0" w:footer="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0"/>
          <w:szCs w:val="20"/>
          <w:rtl w:val="0"/>
        </w:rPr>
        <w:t xml:space="preserve">Зарегистрировано в Минюсте России 31 августа 2022 г. N 69867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0" w:sz="6" w:val="single"/>
        </w:pBdr>
        <w:spacing w:after="100" w:before="10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МИНИСТЕРСТВО ПРОСВЕЩЕНИЯ РОССИЙСКОЙ ФЕДЕРАЦИИ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26 июля 2022 г. N 617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 УТВЕРЖДЕНИИ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ФЕДЕРАЛЬНОГО ГОСУДАРСТВЕННОГО ОБРАЗОВАТЕЛЬНОГО СТАНДАРТА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СРЕДНЕГО ПРОФЕССИОНАЛЬНОГО ОБРАЗОВАНИЯ ПО СПЕЦИАЛЬНОСТИ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21.02.20 ПРИКЛАДНАЯ ГЕОДЕЗИЯ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 соответствии с </w:t>
      </w:r>
      <w:hyperlink r:id="rId8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подпунктом 4.2.30 пункта 4</w:t>
        </w:r>
      </w:hyperlink>
      <w:r w:rsidDel="00000000" w:rsidR="00000000" w:rsidRPr="00000000">
        <w:rPr>
          <w:sz w:val="20"/>
          <w:szCs w:val="20"/>
          <w:rtl w:val="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9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27</w:t>
        </w:r>
      </w:hyperlink>
      <w:r w:rsidDel="00000000" w:rsidR="00000000" w:rsidRPr="00000000">
        <w:rPr>
          <w:sz w:val="20"/>
          <w:szCs w:val="20"/>
          <w:rtl w:val="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 Утвердить прилагаемый федеральный государственный образовательный </w:t>
      </w:r>
      <w:hyperlink w:anchor="gjdgxs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профессионального образования по специальности 21.02.20 Прикладная геодезия (далее - стандарт).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 Установить, что: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образовательная организация вправе осуществлять в соответствии со </w:t>
      </w:r>
      <w:hyperlink w:anchor="gjdgxs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стандартом</w:t>
        </w:r>
      </w:hyperlink>
      <w:r w:rsidDel="00000000" w:rsidR="00000000" w:rsidRPr="00000000">
        <w:rPr>
          <w:sz w:val="20"/>
          <w:szCs w:val="20"/>
          <w:rtl w:val="0"/>
        </w:rPr>
        <w:t xml:space="preserve"> обучение лиц, зачисленных до вступления в силу настоящего приказа, с их согласия;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прием на обучение в соответствии с федеральным государственным образовательным </w:t>
      </w:r>
      <w:hyperlink r:id="rId10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стандартом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профессионального образования по специальности </w:t>
      </w:r>
      <w:hyperlink r:id="rId11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21.02.07</w:t>
        </w:r>
      </w:hyperlink>
      <w:r w:rsidDel="00000000" w:rsidR="00000000" w:rsidRPr="00000000">
        <w:rPr>
          <w:sz w:val="20"/>
          <w:szCs w:val="20"/>
          <w:rtl w:val="0"/>
        </w:rPr>
        <w:t xml:space="preserve"> Аэрофотогеодезия, утвержденным приказом Министерства образования и науки Российской Федерации от 12 мая 2014 г. N 488 (зарегистрирован Министерством юстиции Российской Федерации 30 июня 2014 г., регистрационный N 32923), и федеральным государственным образовательным </w:t>
      </w:r>
      <w:hyperlink r:id="rId12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стандартом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профессионального образования по специальности </w:t>
      </w:r>
      <w:hyperlink r:id="rId13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21.02.08</w:t>
        </w:r>
      </w:hyperlink>
      <w:r w:rsidDel="00000000" w:rsidR="00000000" w:rsidRPr="00000000">
        <w:rPr>
          <w:sz w:val="20"/>
          <w:szCs w:val="20"/>
          <w:rtl w:val="0"/>
        </w:rPr>
        <w:t xml:space="preserve"> Прикладная геодезия, утвержденным приказом Министерства образования и науки Российской Федерации от 12 мая 2014 г. N 489 (зарегистрирован Министерством юстиции Российской Федерации 27 июня 2014 г., регистрационный N 32883), прекращается с 31 декабря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Министр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С.С.КРАВЦОВ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Утвержден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приказом Министерства просвещения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от 26 июля 2022 г. N 617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ФЕДЕРАЛЬНЫЙ ГОСУДАРСТВЕННЫЙ ОБРАЗОВАТЕЛЬНЫЙ СТАНДАРТ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СРЕДНЕГО ПРОФЕССИОНАЛЬНОГО ОБРАЗОВАНИЯ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СПЕЦИАЛЬНОСТИ 21.02.20 ПРИКЛАДНАЯ ГЕОДЕЗИЯ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I. ОБЩИЕ ПОЛОЖЕНИЯ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2E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21.02.20 Прикладная геодезия (далее соответственно - ФГОС СПО, образовательная программа, специальность) в соответствии с квалификацией специалиста среднего звена "специалист по геодезии" &lt;1&gt;.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&lt;1&gt; </w:t>
      </w:r>
      <w:hyperlink r:id="rId14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Перечень</w:t>
        </w:r>
      </w:hyperlink>
      <w:r w:rsidDel="00000000" w:rsidR="00000000" w:rsidRPr="00000000">
        <w:rPr>
          <w:sz w:val="20"/>
          <w:szCs w:val="20"/>
          <w:rtl w:val="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5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стандарта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общего образования &lt;2&gt; и ФГОС СПО с учетом получаемой специальности.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&lt;2&gt; Федеральный государственный образовательный </w:t>
      </w:r>
      <w:hyperlink r:id="rId16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стандарт</w:t>
        </w:r>
      </w:hyperlink>
      <w:r w:rsidDel="00000000" w:rsidR="00000000" w:rsidRPr="00000000">
        <w:rPr>
          <w:sz w:val="20"/>
          <w:szCs w:val="20"/>
          <w:rtl w:val="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&lt;3&gt; </w:t>
      </w:r>
      <w:hyperlink r:id="rId1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Часть 2 статьи 12.1</w:t>
        </w:r>
      </w:hyperlink>
      <w:r w:rsidDel="00000000" w:rsidR="00000000" w:rsidRPr="00000000">
        <w:rPr>
          <w:sz w:val="20"/>
          <w:szCs w:val="20"/>
          <w:rtl w:val="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&lt;4&gt; </w:t>
      </w:r>
      <w:hyperlink r:id="rId18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Статья 14</w:t>
        </w:r>
      </w:hyperlink>
      <w:r w:rsidDel="00000000" w:rsidR="00000000" w:rsidRPr="00000000">
        <w:rPr>
          <w:sz w:val="20"/>
          <w:szCs w:val="20"/>
          <w:rtl w:val="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44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на базе среднего общего образования - 2 года 10 месяцев;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на базе основного общего образования - 3 года 10 месяцев.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Срок получения образования по образовательной программе в очно-заочной и заочной формах,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1fob9te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1.9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4C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9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10</w:t>
        </w:r>
      </w:hyperlink>
      <w:r w:rsidDel="00000000" w:rsidR="00000000" w:rsidRPr="00000000">
        <w:rPr>
          <w:sz w:val="20"/>
          <w:szCs w:val="20"/>
          <w:rtl w:val="0"/>
        </w:rPr>
        <w:t xml:space="preserve"> Архитектура, проектирование, геодезия, топография и дизайн &lt;5&gt;.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&lt;5&gt; </w:t>
      </w:r>
      <w:hyperlink r:id="rId20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Таблица</w:t>
        </w:r>
      </w:hyperlink>
      <w:r w:rsidDel="00000000" w:rsidR="00000000" w:rsidRPr="00000000">
        <w:rPr>
          <w:sz w:val="20"/>
          <w:szCs w:val="20"/>
          <w:rtl w:val="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1.14.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II. ТРЕБОВАНИЯ К СТРУКТУРЕ ОБРАЗОВАТЕЛЬНОЙ ПРОГРАММЫ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2.1. Структура и объем образовательной программы </w:t>
      </w:r>
      <w:hyperlink w:anchor="2et92p0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(таблица N 1)</w:t>
        </w:r>
      </w:hyperlink>
      <w:r w:rsidDel="00000000" w:rsidR="00000000" w:rsidRPr="00000000">
        <w:rPr>
          <w:sz w:val="20"/>
          <w:szCs w:val="20"/>
          <w:rtl w:val="0"/>
        </w:rPr>
        <w:t xml:space="preserve"> включает: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дисциплины (модули);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практику;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государственную итоговую аттестацию.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Таблица 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Структура и объем образовательной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-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06"/>
        <w:gridCol w:w="4365"/>
        <w:tblGridChange w:id="0">
          <w:tblGrid>
            <w:gridCol w:w="4706"/>
            <w:gridCol w:w="43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Структура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Объем образовательной программы, в академических часах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Дисциплины (модули)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 менее 2052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 менее 900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Государственная итоговая аттестация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Общий объем образовательной программы: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базе среднего общего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4464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5940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2.2. Образовательная программа включает: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социально-гуманитарный цикл;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общепрофессиональный цикл;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профессиональный цикл.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3dy6vkm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главой III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7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ПООП, и предполагает освоение следующих видов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выполнение работ по проектированию, созданию и обработке опорных геодезических сетей, нивелирных сетей и сетей специального назначения;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выполнение топографических съемок различными методами, графическое и цифровое оформление результатов;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организация работы коллектива исполнителей;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создание и обновление цифровых топографических карт и планов на основе аэро- и космических снимков;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проведение работ по геодезическому сопровождению строительства и эксплуатации зданий и инженерных сооружений.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tyjcwt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2.4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в рамках вариативной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 обучающихся.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"Информационные технологии в профессиональной деятельности", "Основы геодезии и картографии", "Электронные геодезические средства измерений", "Геоинформационные системы", "Основы экономики, менеджмента и маркетинга", "Правовое обеспечение профессиональной деятельности".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tyjcwt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2.4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ПООП.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30j0zll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1.1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/>
      </w:pPr>
      <w:r w:rsidDel="00000000" w:rsidR="00000000" w:rsidRPr="00000000">
        <w:rPr>
          <w:rtl w:val="0"/>
        </w:rPr>
      </w:r>
    </w:p>
    <w:bookmarkStart w:colFirst="0" w:colLast="0" w:name="3dy6vkm" w:id="6"/>
    <w:bookmarkEnd w:id="6"/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III. ТРЕБОВАНИЯ К РЕЗУЛЬТАТАМ ОСВОЕНИЯ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ОБРАЗОВАТЕЛЬНОЙ ПРОГРАММЫ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01. Выбирать способы решения задач профессиональной деятельности применительно к различным контекстам;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04. Эффективно взаимодействовать и работать в коллективе и команде;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ОК 09. Пользоваться профессиональной документацией на государственном и иностранном языках.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tyjcwt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2.4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сформированными в том числе на основе профессиональных стандартов (при наличии), указанных в ПООП: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Таблица 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-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236"/>
        <w:tblGridChange w:id="0">
          <w:tblGrid>
            <w:gridCol w:w="2835"/>
            <w:gridCol w:w="62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Виды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Профессиональные компетенции, соответствующие видам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выполнение работ по проектированию, созданию и обработке опорных геодезических сетей, нивелирных сетей и сетей специального назначения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1.1. Проектировать геодезические сети.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1.2. Проводить исследования, поверки и юстировку геодезических приборов и систем.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1.3. Выполнять работы по полевому обследованию пунктов геодезических сетей.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1.4.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1.5. Создавать опорные геодезические сети с помощью оптических, электронных и спутниковых геодезических приборов.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1.6. Проводить специальные геодезические измерения при эксплуатации поверхности и недр Земли.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1.7.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1.8.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выполнение топографических съемок различными методами, графическое и цифровое оформление результатов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2.1. Создавать планово-высотное съемочное обоснование с помощью оптических, электронных и спутниковых геодезических приборов.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2.2. 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2.3. 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2.4.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2.5. Собирать, систематизировать и анализировать топографо-геодезическую информацию для разработки проектов съемочных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2.6.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организация работы коллектива исполнителей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при обработке аэрокосмической информации, геодезическому сопровождению строительства и эксплуатации зданий, и инженерных сооружений.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3.2. Принимать решения по комплектованию бригад исполнителей и организации работы бригады.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3.3. Реализовывать мероприятия по повышению эффективности работ, направленных на снижение трудоемкости и повышение производительности труда.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создание и обновление цифровых топографических карт и планов на основе аэро- и космических снимков (по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4.1. Организовывать и выполнять работы по созданию и обновлению цифровых топографических карт и планов на основе аэрокосмической информации.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4.2. Организовывать и выполнять работу по топографическому дешифрированию аэро- и космических снимков.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4.3. Использовать геоинформационные системы и технологии при создании и обновлении топографических карт и планов.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проведение работ по геодезическому сопровождению строительства и эксплуатации зданий и инженерных сооружений (по выбору)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4.1. Выполнять проектирование и производство геодезических изысканий объектов строительства.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4.2. Выполнять подготовку геодезической подосновы для проектирования и разработки генеральных планов объектов строительства.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4.3. Проводить крупномасштабные топографические съемки для создания изыскательских планов, в том числе съемку подземных коммуникаций.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4.4. Выполнять геодезические изыскательские работы, полевое и камеральное трассирование линейных сооружений, вертикальную планировку.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4.5. Участвовать в разработке и осуществлении проектов производства геодезических работ в строительстве.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4.7. Выполнять полевой контроль сохранения проектной геометрии в процессе ведения строительно-монтажных работ.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3.4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tyjcwt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пунктом 2.4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&lt;6&gt; </w:t>
      </w:r>
      <w:hyperlink r:id="rId21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Часть 7 статьи 73</w:t>
        </w:r>
      </w:hyperlink>
      <w:r w:rsidDel="00000000" w:rsidR="00000000" w:rsidRPr="00000000">
        <w:rPr>
          <w:sz w:val="20"/>
          <w:szCs w:val="20"/>
          <w:rtl w:val="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IV. ТРЕБОВАНИЯ К УСЛОВИЯМ РЕАЛИЗАЦИИ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ОБРАЗОВАТЕЛЬНОЙ ПРОГРАММЫ</w:t>
      </w:r>
    </w:p>
    <w:p w:rsidR="00000000" w:rsidDel="00000000" w:rsidP="00000000" w:rsidRDefault="00000000" w:rsidRPr="00000000" w14:paraId="000000C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&lt;7&gt; Федеральный </w:t>
      </w:r>
      <w:hyperlink r:id="rId22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закон</w:t>
        </w:r>
      </w:hyperlink>
      <w:r w:rsidDel="00000000" w:rsidR="00000000" w:rsidRPr="00000000">
        <w:rPr>
          <w:sz w:val="20"/>
          <w:szCs w:val="20"/>
          <w:rtl w:val="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23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СП 2.4.3648-20</w:t>
        </w:r>
      </w:hyperlink>
      <w:r w:rsidDel="00000000" w:rsidR="00000000" w:rsidRPr="00000000">
        <w:rPr>
          <w:sz w:val="20"/>
          <w:szCs w:val="20"/>
          <w:rtl w:val="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4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СанПиН 2.3/2.4.3590-20</w:t>
        </w:r>
      </w:hyperlink>
      <w:r w:rsidDel="00000000" w:rsidR="00000000" w:rsidRPr="00000000">
        <w:rPr>
          <w:sz w:val="20"/>
          <w:szCs w:val="20"/>
          <w:rtl w:val="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5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СанПиН 1.2.3685-21</w:t>
        </w:r>
      </w:hyperlink>
      <w:r w:rsidDel="00000000" w:rsidR="00000000" w:rsidRPr="00000000">
        <w:rPr>
          <w:sz w:val="20"/>
          <w:szCs w:val="20"/>
          <w:rtl w:val="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4.3. Общесистемные требования к условиям реализации образовательной программы:</w:t>
      </w:r>
    </w:p>
    <w:p w:rsidR="00000000" w:rsidDel="00000000" w:rsidP="00000000" w:rsidRDefault="00000000" w:rsidRPr="00000000" w14:paraId="000000D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 w:rsidR="00000000" w:rsidDel="00000000" w:rsidP="00000000" w:rsidRDefault="00000000" w:rsidRPr="00000000" w14:paraId="000000D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г) допускается замена оборудования его виртуальными аналогами;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4.5. Требования к кадровым условиям реализации образовательной программы:</w:t>
      </w:r>
    </w:p>
    <w:p w:rsidR="00000000" w:rsidDel="00000000" w:rsidP="00000000" w:rsidRDefault="00000000" w:rsidRPr="00000000" w14:paraId="000000E7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3znysh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1.13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 (имеющих стаж работы в данной профессиональной области не менее трех лет);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3znysh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1.13</w:t>
        </w:r>
      </w:hyperlink>
      <w:r w:rsidDel="00000000" w:rsidR="00000000" w:rsidRPr="00000000">
        <w:rPr>
          <w:sz w:val="20"/>
          <w:szCs w:val="20"/>
          <w:rtl w:val="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3znysh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пункте 1.13</w:t>
        </w:r>
      </w:hyperlink>
      <w:r w:rsidDel="00000000" w:rsidR="00000000" w:rsidRPr="00000000">
        <w:rPr>
          <w:sz w:val="20"/>
          <w:szCs w:val="20"/>
          <w:rtl w:val="0"/>
        </w:rP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4.6. Требование к финансовым условиям реализации образовательной программы:</w:t>
      </w:r>
    </w:p>
    <w:p w:rsidR="00000000" w:rsidDel="00000000" w:rsidP="00000000" w:rsidRDefault="00000000" w:rsidRPr="00000000" w14:paraId="000000ED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6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законом</w:t>
        </w:r>
      </w:hyperlink>
      <w:r w:rsidDel="00000000" w:rsidR="00000000" w:rsidRPr="00000000">
        <w:rPr>
          <w:sz w:val="20"/>
          <w:szCs w:val="20"/>
          <w:rtl w:val="0"/>
        </w:rPr>
        <w:t xml:space="preserve"> от 29 декабря 2012 г. N 273-ФЗ "Об образовании в Российской Федерации" &lt;9&gt;.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&lt;8&gt; Бюджетный </w:t>
      </w:r>
      <w:hyperlink r:id="rId27">
        <w:r w:rsidDel="00000000" w:rsidR="00000000" w:rsidRPr="00000000">
          <w:rPr>
            <w:color w:val="0000ff"/>
            <w:sz w:val="20"/>
            <w:szCs w:val="20"/>
            <w:rtl w:val="0"/>
          </w:rPr>
          <w:t xml:space="preserve">кодекс</w:t>
        </w:r>
      </w:hyperlink>
      <w:r w:rsidDel="00000000" w:rsidR="00000000" w:rsidRPr="00000000">
        <w:rPr>
          <w:sz w:val="20"/>
          <w:szCs w:val="20"/>
          <w:rtl w:val="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(www.pravo.gov.ru), 2022, 14 июля, N 0001202207140094).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&lt;9&gt; Собрание законодательства Российской Федерации, 2012, N 53, ст. 7598; официальный интернет-портал правовой информации (www.pravo.gov.ru), 2022, 14 июля, N 0001202207140056.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4.7. Требования к применяемым механизмам оценки качества образовательной программы:</w:t>
      </w:r>
    </w:p>
    <w:p w:rsidR="00000000" w:rsidDel="00000000" w:rsidP="00000000" w:rsidRDefault="00000000" w:rsidRPr="00000000" w14:paraId="000000F3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before="200" w:lineRule="auto"/>
        <w:ind w:firstLine="54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bottom w:color="000000" w:space="0" w:sz="6" w:val="single"/>
        </w:pBdr>
        <w:spacing w:after="100" w:before="100" w:lineRule="auto"/>
        <w:jc w:val="both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28" w:type="default"/>
      <w:headerReference r:id="rId29" w:type="first"/>
      <w:footerReference r:id="rId30" w:type="default"/>
      <w:footerReference r:id="rId31" w:type="first"/>
      <w:type w:val="nextPage"/>
      <w:pgSz w:h="16838" w:w="11906" w:orient="portrait"/>
      <w:pgMar w:bottom="1440" w:top="1440" w:left="1133" w:right="566" w:header="0" w:footer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pBdr>
        <w:bottom w:color="000000" w:space="0" w:sz="12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6"/>
      <w:tblW w:w="3.0000000000000004" w:type="dxa"/>
      <w:jc w:val="left"/>
      <w:tblInd w:w="-40.0" w:type="dxa"/>
      <w:tblLayout w:type="fixed"/>
      <w:tblLook w:val="0000"/>
    </w:tblPr>
    <w:tblGrid>
      <w:gridCol w:w="1"/>
      <w:gridCol w:w="1"/>
      <w:gridCol w:w="1"/>
      <w:tblGridChange w:id="0">
        <w:tblGrid>
          <w:gridCol w:w="1"/>
          <w:gridCol w:w="1"/>
          <w:gridCol w:w="1"/>
        </w:tblGrid>
      </w:tblGridChange>
    </w:tblGrid>
    <w:tr>
      <w:trPr>
        <w:cantSplit w:val="0"/>
        <w:trHeight w:val="166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104">
          <w:pPr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5">
          <w:pPr>
            <w:jc w:val="center"/>
            <w:rPr/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6">
          <w:pPr>
            <w:rPr/>
          </w:pPr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Страница </w:t>
          </w: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из </w:t>
          </w:r>
          <w:r w:rsidDel="00000000" w:rsidR="00000000" w:rsidRPr="00000000">
            <w:rPr/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7">
    <w:pPr>
      <w:rPr/>
    </w:pPr>
    <w:r w:rsidDel="00000000" w:rsidR="00000000" w:rsidRPr="00000000">
      <w:rPr>
        <w:sz w:val="2"/>
        <w:szCs w:val="2"/>
        <w:rtl w:val="0"/>
      </w:rPr>
      <w:t xml:space="preserve">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pBdr>
        <w:bottom w:color="000000" w:space="0" w:sz="12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7"/>
      <w:tblW w:w="3.0000000000000004" w:type="dxa"/>
      <w:jc w:val="left"/>
      <w:tblInd w:w="-40.0" w:type="dxa"/>
      <w:tblLayout w:type="fixed"/>
      <w:tblLook w:val="0000"/>
    </w:tblPr>
    <w:tblGrid>
      <w:gridCol w:w="1"/>
      <w:gridCol w:w="1"/>
      <w:gridCol w:w="1"/>
      <w:tblGridChange w:id="0">
        <w:tblGrid>
          <w:gridCol w:w="1"/>
          <w:gridCol w:w="1"/>
          <w:gridCol w:w="1"/>
        </w:tblGrid>
      </w:tblGridChange>
    </w:tblGrid>
    <w:tr>
      <w:trPr>
        <w:cantSplit w:val="0"/>
        <w:trHeight w:val="166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109">
          <w:pPr>
            <w:rPr/>
          </w:pPr>
          <w:r w:rsidDel="00000000" w:rsidR="00000000" w:rsidRPr="00000000">
            <w:rPr>
              <w:rFonts w:ascii="Tahoma" w:cs="Tahoma" w:eastAsia="Tahoma" w:hAnsi="Tahoma"/>
              <w:b w:val="1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A">
          <w:pPr>
            <w:jc w:val="center"/>
            <w:rPr/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1"/>
                <w:color w:val="0000ff"/>
                <w:rtl w:val="0"/>
              </w:rPr>
              <w:t xml:space="preserve">www.consultant.ru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B">
          <w:pPr>
            <w:rPr/>
          </w:pPr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Страница </w:t>
          </w: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ahoma" w:cs="Tahoma" w:eastAsia="Tahoma" w:hAnsi="Tahoma"/>
              <w:rtl w:val="0"/>
            </w:rPr>
            <w:t xml:space="preserve"> из </w:t>
          </w:r>
          <w:r w:rsidDel="00000000" w:rsidR="00000000" w:rsidRPr="00000000">
            <w:rPr/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C">
    <w:pPr>
      <w:rPr/>
    </w:pPr>
    <w:r w:rsidDel="00000000" w:rsidR="00000000" w:rsidRPr="00000000">
      <w:rPr>
        <w:sz w:val="2"/>
        <w:szCs w:val="2"/>
        <w:rtl w:val="0"/>
      </w:rPr>
      <w:t xml:space="preserve">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4"/>
      <w:tblW w:w="2.0" w:type="dxa"/>
      <w:jc w:val="left"/>
      <w:tblInd w:w="-40.0" w:type="dxa"/>
      <w:tblLayout w:type="fixed"/>
      <w:tblLook w:val="0000"/>
    </w:tblPr>
    <w:tblGrid>
      <w:gridCol w:w="1"/>
      <w:gridCol w:w="1"/>
      <w:tblGridChange w:id="0">
        <w:tblGrid>
          <w:gridCol w:w="1"/>
          <w:gridCol w:w="1"/>
        </w:tblGrid>
      </w:tblGridChange>
    </w:tblGrid>
    <w:tr>
      <w:trPr>
        <w:cantSplit w:val="0"/>
        <w:trHeight w:val="168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FA">
          <w:pPr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Приказ Минпросвещения России от 26.07.2022 N 617</w:t>
            <w:br w:type="textWrapping"/>
            <w:t xml:space="preserve">"Об утверждении федерального государственного образовательного стандарт...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FB">
          <w:pPr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ahoma" w:cs="Tahoma" w:eastAsia="Tahoma" w:hAnsi="Tahoma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Дата сохранения: 16.12.2022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C">
    <w:pPr>
      <w:pBdr>
        <w:bottom w:color="000000" w:space="0" w:sz="12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2.0" w:type="dxa"/>
      <w:jc w:val="left"/>
      <w:tblInd w:w="-40.0" w:type="dxa"/>
      <w:tblLayout w:type="fixed"/>
      <w:tblLook w:val="0000"/>
    </w:tblPr>
    <w:tblGrid>
      <w:gridCol w:w="1"/>
      <w:gridCol w:w="1"/>
      <w:tblGridChange w:id="0">
        <w:tblGrid>
          <w:gridCol w:w="1"/>
          <w:gridCol w:w="1"/>
        </w:tblGrid>
      </w:tblGridChange>
    </w:tblGrid>
    <w:tr>
      <w:trPr>
        <w:cantSplit w:val="0"/>
        <w:trHeight w:val="168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FF">
          <w:pPr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Приказ Минпросвещения России от 26.07.2022 N 617</w:t>
            <w:br w:type="textWrapping"/>
            <w:t xml:space="preserve">"Об утверждении федерального государственного образовательного стандарт...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0">
          <w:pPr>
            <w:rPr>
              <w:rFonts w:ascii="Tahoma" w:cs="Tahoma" w:eastAsia="Tahoma" w:hAnsi="Tahoma"/>
            </w:rPr>
          </w:pPr>
          <w:r w:rsidDel="00000000" w:rsidR="00000000" w:rsidRPr="00000000">
            <w:rPr>
              <w:rFonts w:ascii="Tahoma" w:cs="Tahoma" w:eastAsia="Tahoma" w:hAnsi="Tahoma"/>
              <w:sz w:val="18"/>
              <w:szCs w:val="18"/>
              <w:rtl w:val="0"/>
            </w:rPr>
            <w:t xml:space="preserve">Документ предоставлен </w:t>
          </w:r>
          <w:hyperlink r:id="rId1">
            <w:r w:rsidDel="00000000" w:rsidR="00000000" w:rsidRPr="00000000">
              <w:rPr>
                <w:rFonts w:ascii="Tahoma" w:cs="Tahoma" w:eastAsia="Tahoma" w:hAnsi="Tahoma"/>
                <w:color w:val="0000ff"/>
                <w:sz w:val="18"/>
                <w:szCs w:val="18"/>
                <w:rtl w:val="0"/>
              </w:rPr>
              <w:t xml:space="preserve">КонсультантПлюс</w:t>
            </w:r>
          </w:hyperlink>
          <w:r w:rsidDel="00000000" w:rsidR="00000000" w:rsidRPr="00000000">
            <w:rPr>
              <w:rFonts w:ascii="Tahoma" w:cs="Tahoma" w:eastAsia="Tahoma" w:hAnsi="Tahoma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Дата сохранения: 16.12.2022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1">
    <w:pPr>
      <w:pBdr>
        <w:bottom w:color="000000" w:space="0" w:sz="12" w:val="single"/>
      </w:pBdr>
      <w:rPr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8" Type="http://schemas.openxmlformats.org/officeDocument/2006/relationships/header" Target="header2.xml"/><Relationship Id="rId27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8" Type="http://schemas.openxmlformats.org/officeDocument/2006/relationships/hyperlink" Target="about:blank" TargetMode="External"/><Relationship Id="rId31" Type="http://schemas.openxmlformats.org/officeDocument/2006/relationships/footer" Target="footer1.xml"/><Relationship Id="rId30" Type="http://schemas.openxmlformats.org/officeDocument/2006/relationships/footer" Target="footer2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