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80" w:rsidRPr="00580E80" w:rsidRDefault="00580E80" w:rsidP="00580E80">
      <w:pPr>
        <w:pStyle w:val="17PRIL-header-1"/>
        <w:rPr>
          <w:rFonts w:ascii="Arial" w:hAnsi="Arial" w:cs="Arial"/>
          <w:b/>
          <w:sz w:val="24"/>
        </w:rPr>
      </w:pPr>
      <w:r w:rsidRPr="00580E80">
        <w:rPr>
          <w:rFonts w:ascii="Arial" w:hAnsi="Arial" w:cs="Arial"/>
          <w:b/>
          <w:sz w:val="24"/>
        </w:rPr>
        <w:t>Карта оценки информационной безопасности мультфильма</w:t>
      </w:r>
      <w:r w:rsidRPr="00580E80">
        <w:rPr>
          <w:rFonts w:ascii="Arial" w:hAnsi="Arial" w:cs="Arial"/>
          <w:b/>
          <w:sz w:val="24"/>
          <w:vertAlign w:val="superscript"/>
        </w:rPr>
        <w:footnoteReference w:id="1"/>
      </w:r>
    </w:p>
    <w:p w:rsidR="00580E80" w:rsidRPr="00580E80" w:rsidRDefault="00580E80" w:rsidP="00580E80">
      <w:pPr>
        <w:pStyle w:val="a3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0"/>
        <w:gridCol w:w="567"/>
        <w:gridCol w:w="567"/>
      </w:tblGrid>
      <w:tr w:rsidR="00580E80" w:rsidRPr="00580E80" w:rsidTr="00580E80">
        <w:trPr>
          <w:trHeight w:val="60"/>
          <w:tblHeader/>
        </w:trPr>
        <w:tc>
          <w:tcPr>
            <w:tcW w:w="8220" w:type="dxa"/>
            <w:vMerge w:val="restart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80E80" w:rsidRPr="00580E80" w:rsidRDefault="00580E80">
            <w:pPr>
              <w:pStyle w:val="12TABL-hroom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Критерий оценки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80E80" w:rsidRPr="00580E80" w:rsidRDefault="00580E80">
            <w:pPr>
              <w:pStyle w:val="12TABL-hroom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Отметка</w:t>
            </w:r>
          </w:p>
        </w:tc>
      </w:tr>
      <w:tr w:rsidR="00580E80" w:rsidRPr="00580E80" w:rsidTr="00580E80">
        <w:trPr>
          <w:trHeight w:val="60"/>
          <w:tblHeader/>
        </w:trPr>
        <w:tc>
          <w:tcPr>
            <w:tcW w:w="8220" w:type="dxa"/>
            <w:vMerge/>
            <w:shd w:val="clear" w:color="auto" w:fill="auto"/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80E80" w:rsidRPr="00580E80" w:rsidRDefault="00580E80">
            <w:pPr>
              <w:pStyle w:val="12TABL-hroom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Да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80E80" w:rsidRPr="00580E80" w:rsidRDefault="00580E80">
            <w:pPr>
              <w:pStyle w:val="12TABL-hroom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Нет</w:t>
            </w:r>
          </w:p>
        </w:tc>
      </w:tr>
      <w:tr w:rsidR="00580E80" w:rsidRPr="00580E80" w:rsidTr="00580E80">
        <w:trPr>
          <w:trHeight w:val="6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80E80" w:rsidRPr="00580E80" w:rsidRDefault="00580E80" w:rsidP="00580E80">
            <w:pPr>
              <w:pStyle w:val="12TABL-hroom"/>
              <w:spacing w:after="0"/>
              <w:rPr>
                <w:rFonts w:ascii="Arial" w:hAnsi="Arial" w:cs="Arial"/>
                <w:b/>
                <w:color w:val="auto"/>
              </w:rPr>
            </w:pPr>
            <w:r w:rsidRPr="00580E80">
              <w:rPr>
                <w:rFonts w:ascii="Arial" w:hAnsi="Arial" w:cs="Arial"/>
                <w:b/>
                <w:color w:val="auto"/>
              </w:rPr>
              <w:t>Характеристики, которые влияют на то, как ребенок воспринимает мультфильм</w:t>
            </w: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Продолжительность мультфильма: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для детей 3–5 лет: до 15–20 минут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для детей 5–7 лет: до 30 минут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Особенности видеоряда: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достаточно медленный темп развития событий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есть смысловые паузы в наиболее сложных и напряженных моментах 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Визуальная нагрузка: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в кадре не более трех персонажей, двух-трех цветов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плавные переходы цветов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Характер изображений: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баланс между условностью и реалистичностью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4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гармония цветовых решений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Звук и видеоряд: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5"/>
              </w:numPr>
              <w:rPr>
                <w:rFonts w:ascii="Arial" w:hAnsi="Arial" w:cs="Arial"/>
                <w:color w:val="auto"/>
              </w:rPr>
            </w:pPr>
            <w:proofErr w:type="gramStart"/>
            <w:r w:rsidRPr="00580E80">
              <w:rPr>
                <w:rFonts w:ascii="Arial" w:hAnsi="Arial" w:cs="Arial"/>
                <w:color w:val="auto"/>
              </w:rPr>
              <w:t>изобразительный</w:t>
            </w:r>
            <w:proofErr w:type="gramEnd"/>
            <w:r w:rsidRPr="00580E80">
              <w:rPr>
                <w:rFonts w:ascii="Arial" w:hAnsi="Arial" w:cs="Arial"/>
                <w:color w:val="auto"/>
              </w:rPr>
              <w:t xml:space="preserve"> и действенный ряды преобладают над вербальным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5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речевое сопровождение соответствует зрительному ряду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Темп речи и лексика: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лексика простая, правильная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темп речи размеренный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80E80" w:rsidRPr="00580E80" w:rsidRDefault="00580E80" w:rsidP="00580E80">
            <w:pPr>
              <w:pStyle w:val="12TABL-hroom"/>
              <w:spacing w:after="0"/>
              <w:rPr>
                <w:rFonts w:ascii="Arial" w:hAnsi="Arial" w:cs="Arial"/>
                <w:b/>
                <w:color w:val="auto"/>
              </w:rPr>
            </w:pPr>
            <w:r w:rsidRPr="00580E80">
              <w:rPr>
                <w:rFonts w:ascii="Arial" w:hAnsi="Arial" w:cs="Arial"/>
                <w:b/>
                <w:color w:val="auto"/>
              </w:rPr>
              <w:t>Этический аспект</w:t>
            </w: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Моральные характеристики героев четко определены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Жестокость, насилие отсутствуют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80E80" w:rsidRPr="00580E80" w:rsidRDefault="00580E80" w:rsidP="00580E80">
            <w:pPr>
              <w:pStyle w:val="12TABL-hroom"/>
              <w:spacing w:after="0"/>
              <w:rPr>
                <w:rFonts w:ascii="Arial" w:hAnsi="Arial" w:cs="Arial"/>
                <w:b/>
                <w:color w:val="auto"/>
              </w:rPr>
            </w:pPr>
            <w:r w:rsidRPr="00580E80">
              <w:rPr>
                <w:rFonts w:ascii="Arial" w:hAnsi="Arial" w:cs="Arial"/>
                <w:b/>
                <w:color w:val="auto"/>
              </w:rPr>
              <w:t>Эстетический аспект</w:t>
            </w: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Эстетичность звукового сопровождения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Эстетичность изображений, речи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80E80" w:rsidRPr="00580E80" w:rsidRDefault="00580E80" w:rsidP="00580E80">
            <w:pPr>
              <w:pStyle w:val="12TABL-hroom"/>
              <w:spacing w:after="0"/>
              <w:rPr>
                <w:rFonts w:ascii="Arial" w:hAnsi="Arial" w:cs="Arial"/>
                <w:b/>
                <w:color w:val="auto"/>
              </w:rPr>
            </w:pPr>
            <w:r w:rsidRPr="00580E80">
              <w:rPr>
                <w:rFonts w:ascii="Arial" w:hAnsi="Arial" w:cs="Arial"/>
                <w:b/>
                <w:color w:val="auto"/>
              </w:rPr>
              <w:t>Когнитивный аспект</w:t>
            </w: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Содержание: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7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мультфильм знакомит детей с окружающим миром, семейным укладом, взаимоотношениями людей на уровне образов и действий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7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герои мультфильма преодолевают испытания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7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мультфильм имеет простой сюжет с повторяющимися действиями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lastRenderedPageBreak/>
              <w:t xml:space="preserve">Последовательность событий: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8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линейный тип повествования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8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короткий сюжет с понятной временной и логической последовательностью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8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узнаваемость и реалистичность действий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8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возможность их воспроизведения в игре 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Связь с личным опытом: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9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сюжет связан с жизнью детей, ситуациями, наблюдаемыми в семье и коллективе сверстников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9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сюжет связан со знакомством с миром природы и техники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Юмор: невербальный юмор, основанный на нарушении бытовых правил, путаница очевидных фактов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80E80" w:rsidRPr="00580E80" w:rsidRDefault="00580E80" w:rsidP="00580E80">
            <w:pPr>
              <w:pStyle w:val="12TABL-hroom"/>
              <w:spacing w:after="0"/>
              <w:rPr>
                <w:rFonts w:ascii="Arial" w:hAnsi="Arial" w:cs="Arial"/>
                <w:b/>
                <w:color w:val="auto"/>
              </w:rPr>
            </w:pPr>
            <w:r w:rsidRPr="00580E80">
              <w:rPr>
                <w:rFonts w:ascii="Arial" w:hAnsi="Arial" w:cs="Arial"/>
                <w:b/>
                <w:color w:val="auto"/>
              </w:rPr>
              <w:t>Эмоциональный аспект</w:t>
            </w: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Эмоциональный фон: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10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общий позитивный настрой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10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  <w:spacing w:val="-4"/>
              </w:rPr>
              <w:t xml:space="preserve">однозначные, понятные ребенку эмоции, которые связаны с определенными действиями, </w:t>
            </w:r>
            <w:r w:rsidRPr="00580E80">
              <w:rPr>
                <w:rFonts w:ascii="Arial" w:hAnsi="Arial" w:cs="Arial"/>
                <w:color w:val="auto"/>
                <w:spacing w:val="-4"/>
              </w:rPr>
              <w:br/>
              <w:t>отношениями персонажей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 w:rsidP="00871839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Эмоциональная напряженность умеренная. Эмоции лишь обозначаются, проявляются достаточно долго, чтобы ребенок мог их распознать, проявить сочувствие, сопереживание. Мультфильм заканчивается позитивно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Преобладающие эмоции: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11"/>
              </w:numPr>
              <w:rPr>
                <w:rFonts w:ascii="Arial" w:hAnsi="Arial" w:cs="Arial"/>
                <w:color w:val="auto"/>
              </w:rPr>
            </w:pPr>
            <w:proofErr w:type="gramStart"/>
            <w:r w:rsidRPr="00580E80">
              <w:rPr>
                <w:rFonts w:ascii="Arial" w:hAnsi="Arial" w:cs="Arial"/>
                <w:color w:val="auto"/>
              </w:rPr>
              <w:t>для детей 3–5 лет: радость, удивление, интерес, смущение, грусть, печаль, страх, недовольство</w:t>
            </w:r>
            <w:proofErr w:type="gramEnd"/>
          </w:p>
          <w:p w:rsidR="00580E80" w:rsidRPr="00580E80" w:rsidRDefault="00580E80" w:rsidP="00871839">
            <w:pPr>
              <w:pStyle w:val="12TABL-bull"/>
              <w:numPr>
                <w:ilvl w:val="0"/>
                <w:numId w:val="11"/>
              </w:numPr>
              <w:rPr>
                <w:rFonts w:ascii="Arial" w:hAnsi="Arial" w:cs="Arial"/>
                <w:color w:val="auto"/>
              </w:rPr>
            </w:pPr>
            <w:proofErr w:type="gramStart"/>
            <w:r w:rsidRPr="00580E80">
              <w:rPr>
                <w:rFonts w:ascii="Arial" w:hAnsi="Arial" w:cs="Arial"/>
                <w:color w:val="auto"/>
              </w:rPr>
              <w:t>для детей 6–7 лет: добавляются отвращение, презрение, стыд, вина, гнев, ярость.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9354" w:type="dxa"/>
            <w:gridSpan w:val="3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  <w:vAlign w:val="center"/>
          </w:tcPr>
          <w:p w:rsidR="00580E80" w:rsidRPr="00580E80" w:rsidRDefault="00580E80" w:rsidP="00580E80">
            <w:pPr>
              <w:pStyle w:val="12TABL-hroom"/>
              <w:spacing w:after="0"/>
              <w:rPr>
                <w:rFonts w:ascii="Arial" w:hAnsi="Arial" w:cs="Arial"/>
                <w:b/>
                <w:color w:val="auto"/>
              </w:rPr>
            </w:pPr>
            <w:r w:rsidRPr="00580E80">
              <w:rPr>
                <w:rFonts w:ascii="Arial" w:hAnsi="Arial" w:cs="Arial"/>
                <w:b/>
                <w:color w:val="auto"/>
              </w:rPr>
              <w:t>Характеристика персонажей</w:t>
            </w: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Главный герой: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12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образ героя узнаваем, достаточно прост, не перегружен деталями, максимально выразителен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12"/>
              </w:numPr>
              <w:rPr>
                <w:rFonts w:ascii="Arial" w:hAnsi="Arial" w:cs="Arial"/>
                <w:color w:val="auto"/>
              </w:rPr>
            </w:pPr>
            <w:proofErr w:type="spellStart"/>
            <w:r w:rsidRPr="00580E80">
              <w:rPr>
                <w:rFonts w:ascii="Arial" w:hAnsi="Arial" w:cs="Arial"/>
                <w:color w:val="auto"/>
              </w:rPr>
              <w:t>целеполагание</w:t>
            </w:r>
            <w:proofErr w:type="spellEnd"/>
            <w:r w:rsidRPr="00580E80">
              <w:rPr>
                <w:rFonts w:ascii="Arial" w:hAnsi="Arial" w:cs="Arial"/>
                <w:color w:val="auto"/>
              </w:rPr>
              <w:t xml:space="preserve"> четко определено, соответствует ценностным ориентирам общества, мотивация понятна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12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герой демонстрирует позитивные и эффективные модели поведения, деятельности, взаимодействия, правильные речевые образцы, является источником положительного социального опыта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580E80" w:rsidRPr="00580E80" w:rsidTr="00580E80">
        <w:trPr>
          <w:trHeight w:val="60"/>
        </w:trPr>
        <w:tc>
          <w:tcPr>
            <w:tcW w:w="8220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12TABL-txt"/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Количество персонажей: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13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один главный персонаж в кадре и два-три второстепенных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13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 xml:space="preserve">в момент действия героя нет перегрузки речевым сопровождением, и наоборот </w:t>
            </w:r>
          </w:p>
          <w:p w:rsidR="00580E80" w:rsidRPr="00580E80" w:rsidRDefault="00580E80" w:rsidP="00871839">
            <w:pPr>
              <w:pStyle w:val="12TABL-bull"/>
              <w:numPr>
                <w:ilvl w:val="0"/>
                <w:numId w:val="13"/>
              </w:numPr>
              <w:rPr>
                <w:rFonts w:ascii="Arial" w:hAnsi="Arial" w:cs="Arial"/>
                <w:color w:val="auto"/>
              </w:rPr>
            </w:pPr>
            <w:r w:rsidRPr="00580E80">
              <w:rPr>
                <w:rFonts w:ascii="Arial" w:hAnsi="Arial" w:cs="Arial"/>
                <w:color w:val="auto"/>
              </w:rPr>
              <w:t>второстепенные персонажи статичны в момент активности главного героя, и наоборот</w:t>
            </w: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80E80" w:rsidRPr="00580E80" w:rsidRDefault="00580E80">
            <w:pPr>
              <w:pStyle w:val="a3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:rsidR="00580E80" w:rsidRPr="00580E80" w:rsidRDefault="00580E80" w:rsidP="00580E80">
      <w:pPr>
        <w:pStyle w:val="17PRIL-txt"/>
        <w:rPr>
          <w:rFonts w:ascii="Arial" w:hAnsi="Arial" w:cs="Arial"/>
          <w:sz w:val="22"/>
          <w:szCs w:val="22"/>
        </w:rPr>
      </w:pPr>
    </w:p>
    <w:p w:rsidR="004F6E6C" w:rsidRPr="00580E80" w:rsidRDefault="004F6E6C">
      <w:pPr>
        <w:rPr>
          <w:rFonts w:ascii="Arial" w:hAnsi="Arial" w:cs="Arial"/>
        </w:rPr>
      </w:pPr>
    </w:p>
    <w:sectPr w:rsidR="004F6E6C" w:rsidRPr="00580E80" w:rsidSect="00580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851" w:bottom="73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80" w:rsidRDefault="00580E80" w:rsidP="00580E80">
      <w:pPr>
        <w:spacing w:after="0" w:line="240" w:lineRule="auto"/>
      </w:pPr>
      <w:r>
        <w:separator/>
      </w:r>
    </w:p>
  </w:endnote>
  <w:endnote w:type="continuationSeparator" w:id="0">
    <w:p w:rsidR="00580E80" w:rsidRDefault="00580E80" w:rsidP="0058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vantGardeGothicC">
    <w:panose1 w:val="000005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C3" w:rsidRDefault="004252C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C3" w:rsidRDefault="004252C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C3" w:rsidRDefault="004252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80" w:rsidRDefault="00580E80" w:rsidP="00580E80">
      <w:pPr>
        <w:spacing w:after="0" w:line="240" w:lineRule="auto"/>
      </w:pPr>
      <w:r>
        <w:separator/>
      </w:r>
    </w:p>
  </w:footnote>
  <w:footnote w:type="continuationSeparator" w:id="0">
    <w:p w:rsidR="00580E80" w:rsidRDefault="00580E80" w:rsidP="00580E80">
      <w:pPr>
        <w:spacing w:after="0" w:line="240" w:lineRule="auto"/>
      </w:pPr>
      <w:r>
        <w:continuationSeparator/>
      </w:r>
    </w:p>
  </w:footnote>
  <w:footnote w:id="1">
    <w:p w:rsidR="00580E80" w:rsidRPr="00580E80" w:rsidRDefault="00580E80" w:rsidP="00580E80">
      <w:pPr>
        <w:pStyle w:val="14FootNOTE"/>
        <w:rPr>
          <w:rFonts w:ascii="Arial" w:hAnsi="Arial" w:cs="Arial"/>
          <w:color w:val="auto"/>
        </w:rPr>
      </w:pPr>
      <w:r w:rsidRPr="00580E80">
        <w:rPr>
          <w:rFonts w:ascii="Arial" w:hAnsi="Arial" w:cs="Arial"/>
          <w:color w:val="auto"/>
          <w:vertAlign w:val="superscript"/>
        </w:rPr>
        <w:footnoteRef/>
      </w:r>
      <w:r w:rsidRPr="00580E80">
        <w:rPr>
          <w:rFonts w:ascii="Arial" w:hAnsi="Arial" w:cs="Arial"/>
          <w:color w:val="auto"/>
        </w:rPr>
        <w:tab/>
        <w:t xml:space="preserve">Карта оценки составлена на основе приложения 4. </w:t>
      </w:r>
      <w:proofErr w:type="gramStart"/>
      <w:r w:rsidRPr="00580E80">
        <w:rPr>
          <w:rFonts w:ascii="Arial" w:hAnsi="Arial" w:cs="Arial"/>
          <w:color w:val="auto"/>
        </w:rPr>
        <w:t>«Методика классификации анимационной продукции (мультфильмов) к информационной продукции, рекомендуемой для просмотра детьми соответствующих возрастных групп)» к проекту Концепции информационной безопасности детей.</w:t>
      </w:r>
      <w:proofErr w:type="gramEnd"/>
      <w:r w:rsidRPr="00580E80">
        <w:rPr>
          <w:rFonts w:ascii="Arial" w:hAnsi="Arial" w:cs="Arial"/>
          <w:color w:val="auto"/>
        </w:rPr>
        <w:t xml:space="preserve"> Проект разработали эксперты и специалисты из МГУ, СПбГУ, ВШЭ, </w:t>
      </w:r>
      <w:proofErr w:type="spellStart"/>
      <w:r w:rsidRPr="00580E80">
        <w:rPr>
          <w:rFonts w:ascii="Arial" w:hAnsi="Arial" w:cs="Arial"/>
          <w:color w:val="auto"/>
        </w:rPr>
        <w:t>Сеченовского</w:t>
      </w:r>
      <w:proofErr w:type="spellEnd"/>
      <w:r w:rsidRPr="00580E80">
        <w:rPr>
          <w:rFonts w:ascii="Arial" w:hAnsi="Arial" w:cs="Arial"/>
          <w:color w:val="auto"/>
        </w:rPr>
        <w:t xml:space="preserve"> университета на основе международного опыта. Приложения не входят в утвержденный вариант текста Концепции. – </w:t>
      </w:r>
      <w:r w:rsidRPr="00580E80">
        <w:rPr>
          <w:rStyle w:val="Italic"/>
          <w:rFonts w:ascii="Arial" w:hAnsi="Arial" w:cs="Arial"/>
          <w:color w:val="auto"/>
        </w:rPr>
        <w:t>Примеч. авт.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C3" w:rsidRDefault="004252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80" w:rsidRDefault="00580E80" w:rsidP="00580E80">
    <w:pPr>
      <w:pStyle w:val="a8"/>
      <w:ind w:left="244"/>
      <w:rPr>
        <w:rFonts w:ascii="Times New Roman"/>
        <w:sz w:val="20"/>
      </w:rPr>
    </w:pPr>
    <w:r>
      <w:rPr>
        <w:rFonts w:ascii="Times New Roman"/>
        <w:noProof/>
        <w:sz w:val="20"/>
        <w:lang w:bidi="ar-SA"/>
      </w:rPr>
      <w:drawing>
        <wp:inline distT="0" distB="0" distL="0" distR="0">
          <wp:extent cx="1201097" cy="548640"/>
          <wp:effectExtent l="0" t="0" r="0" b="0"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1097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0E80" w:rsidRDefault="00580E80" w:rsidP="00580E80">
    <w:pPr>
      <w:pStyle w:val="a8"/>
      <w:spacing w:before="3"/>
      <w:rPr>
        <w:rFonts w:ascii="Times New Roman"/>
        <w:sz w:val="16"/>
      </w:rPr>
    </w:pPr>
  </w:p>
  <w:p w:rsidR="004252C3" w:rsidRPr="007F5617" w:rsidRDefault="004252C3" w:rsidP="004252C3">
    <w:pPr>
      <w:pStyle w:val="a8"/>
      <w:spacing w:before="94"/>
      <w:ind w:left="212"/>
      <w:rPr>
        <w:b/>
        <w:sz w:val="20"/>
        <w:szCs w:val="20"/>
      </w:rPr>
    </w:pPr>
    <w:r w:rsidRPr="007F5617">
      <w:rPr>
        <w:b/>
        <w:sz w:val="20"/>
        <w:szCs w:val="20"/>
      </w:rPr>
      <w:t xml:space="preserve">Авторы: </w:t>
    </w:r>
  </w:p>
  <w:p w:rsidR="004252C3" w:rsidRPr="007F5617" w:rsidRDefault="004252C3" w:rsidP="004252C3">
    <w:pPr>
      <w:pStyle w:val="a8"/>
      <w:spacing w:before="94"/>
      <w:ind w:left="212"/>
      <w:rPr>
        <w:sz w:val="20"/>
        <w:szCs w:val="20"/>
      </w:rPr>
    </w:pPr>
    <w:r w:rsidRPr="007F5617">
      <w:rPr>
        <w:sz w:val="20"/>
        <w:szCs w:val="20"/>
      </w:rPr>
      <w:t xml:space="preserve">Л.Л. Тимофеева, доцент кафедры развития образовательных систем БУ ОО ДПО «Институт развития образования», </w:t>
    </w:r>
    <w:proofErr w:type="gramStart"/>
    <w:r w:rsidRPr="007F5617">
      <w:rPr>
        <w:sz w:val="20"/>
        <w:szCs w:val="20"/>
      </w:rPr>
      <w:t>г</w:t>
    </w:r>
    <w:proofErr w:type="gramEnd"/>
    <w:r w:rsidRPr="007F5617">
      <w:rPr>
        <w:sz w:val="20"/>
        <w:szCs w:val="20"/>
      </w:rPr>
      <w:t>. Орел, к. п. н., федеральный эксперт Национальной родительской ассоциации, эксперт президиума Федерального экспертного совета по дошкольному образованию «Воспитатели России»</w:t>
    </w:r>
  </w:p>
  <w:p w:rsidR="004252C3" w:rsidRPr="007F5617" w:rsidRDefault="004252C3" w:rsidP="004252C3">
    <w:pPr>
      <w:pStyle w:val="a8"/>
      <w:spacing w:before="94"/>
      <w:ind w:left="212"/>
      <w:rPr>
        <w:sz w:val="20"/>
        <w:szCs w:val="20"/>
      </w:rPr>
    </w:pPr>
    <w:r w:rsidRPr="007F5617">
      <w:rPr>
        <w:sz w:val="20"/>
        <w:szCs w:val="20"/>
      </w:rPr>
      <w:t xml:space="preserve">Н.И. Королева, директор БУ </w:t>
    </w:r>
    <w:proofErr w:type="gramStart"/>
    <w:r w:rsidRPr="007F5617">
      <w:rPr>
        <w:sz w:val="20"/>
        <w:szCs w:val="20"/>
      </w:rPr>
      <w:t>ТР</w:t>
    </w:r>
    <w:proofErr w:type="gramEnd"/>
    <w:r w:rsidRPr="007F5617">
      <w:rPr>
        <w:sz w:val="20"/>
        <w:szCs w:val="20"/>
      </w:rPr>
      <w:t xml:space="preserve"> ОО «</w:t>
    </w:r>
    <w:proofErr w:type="spellStart"/>
    <w:r w:rsidRPr="007F5617">
      <w:rPr>
        <w:sz w:val="20"/>
        <w:szCs w:val="20"/>
      </w:rPr>
      <w:t>ППМС-центр</w:t>
    </w:r>
    <w:proofErr w:type="spellEnd"/>
    <w:r w:rsidRPr="007F5617">
      <w:rPr>
        <w:sz w:val="20"/>
        <w:szCs w:val="20"/>
      </w:rPr>
      <w:t xml:space="preserve">», п. </w:t>
    </w:r>
    <w:proofErr w:type="spellStart"/>
    <w:r w:rsidRPr="007F5617">
      <w:rPr>
        <w:sz w:val="20"/>
        <w:szCs w:val="20"/>
      </w:rPr>
      <w:t>Тросна</w:t>
    </w:r>
    <w:proofErr w:type="spellEnd"/>
    <w:r w:rsidRPr="007F5617">
      <w:rPr>
        <w:sz w:val="20"/>
        <w:szCs w:val="20"/>
      </w:rPr>
      <w:t xml:space="preserve"> Орловской области федеральный эксперт Национальной родительской ассоциации</w:t>
    </w:r>
  </w:p>
  <w:p w:rsidR="00580E80" w:rsidRDefault="00580E8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C3" w:rsidRDefault="004252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491"/>
    <w:multiLevelType w:val="hybridMultilevel"/>
    <w:tmpl w:val="541AB9F6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252C"/>
    <w:multiLevelType w:val="hybridMultilevel"/>
    <w:tmpl w:val="6FA8FBD2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83C4C"/>
    <w:multiLevelType w:val="hybridMultilevel"/>
    <w:tmpl w:val="BC20980C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3ACC"/>
    <w:multiLevelType w:val="hybridMultilevel"/>
    <w:tmpl w:val="E9AE7042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3103"/>
    <w:multiLevelType w:val="hybridMultilevel"/>
    <w:tmpl w:val="EE1C36E6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87382"/>
    <w:multiLevelType w:val="hybridMultilevel"/>
    <w:tmpl w:val="2EE67320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D487A"/>
    <w:multiLevelType w:val="hybridMultilevel"/>
    <w:tmpl w:val="71C2A046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F2F9C"/>
    <w:multiLevelType w:val="hybridMultilevel"/>
    <w:tmpl w:val="526C7E08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164D7"/>
    <w:multiLevelType w:val="hybridMultilevel"/>
    <w:tmpl w:val="9D8C80A0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01CC2"/>
    <w:multiLevelType w:val="hybridMultilevel"/>
    <w:tmpl w:val="03CCF95E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E18AF"/>
    <w:multiLevelType w:val="hybridMultilevel"/>
    <w:tmpl w:val="64022C6E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102DF"/>
    <w:multiLevelType w:val="hybridMultilevel"/>
    <w:tmpl w:val="9BFC9326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B3E9B"/>
    <w:multiLevelType w:val="hybridMultilevel"/>
    <w:tmpl w:val="1D324D06"/>
    <w:lvl w:ilvl="0" w:tplc="DE7E4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80"/>
    <w:rsid w:val="000E0BA9"/>
    <w:rsid w:val="001C69FD"/>
    <w:rsid w:val="00224797"/>
    <w:rsid w:val="004252C3"/>
    <w:rsid w:val="004F6E6C"/>
    <w:rsid w:val="00580E80"/>
    <w:rsid w:val="00871839"/>
    <w:rsid w:val="008E3272"/>
    <w:rsid w:val="00B20ED0"/>
    <w:rsid w:val="00F8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80E8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7PRIL-header-1">
    <w:name w:val="17PRIL-header-1"/>
    <w:basedOn w:val="a3"/>
    <w:next w:val="a3"/>
    <w:uiPriority w:val="99"/>
    <w:rsid w:val="00580E80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spacing w:line="240" w:lineRule="atLeast"/>
      <w:jc w:val="center"/>
      <w:textAlignment w:val="baseline"/>
    </w:pPr>
    <w:rPr>
      <w:rFonts w:ascii="AvantGardeGothicC" w:hAnsi="AvantGardeGothicC" w:cs="AvantGardeGothicC"/>
      <w:position w:val="14"/>
      <w:sz w:val="22"/>
      <w:szCs w:val="22"/>
    </w:rPr>
  </w:style>
  <w:style w:type="paragraph" w:customStyle="1" w:styleId="17PRIL-txt">
    <w:name w:val="17PRIL-txt"/>
    <w:basedOn w:val="a"/>
    <w:next w:val="a3"/>
    <w:uiPriority w:val="99"/>
    <w:rsid w:val="00580E8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14FootNOTE">
    <w:name w:val="14FootNOTE"/>
    <w:basedOn w:val="a3"/>
    <w:next w:val="a3"/>
    <w:uiPriority w:val="99"/>
    <w:rsid w:val="00580E80"/>
    <w:pPr>
      <w:ind w:left="227" w:hanging="227"/>
    </w:pPr>
    <w:rPr>
      <w:rFonts w:ascii="Myriad Pro" w:hAnsi="Myriad Pro" w:cs="Myriad Pro"/>
      <w:color w:val="323232"/>
      <w:sz w:val="16"/>
      <w:szCs w:val="16"/>
    </w:rPr>
  </w:style>
  <w:style w:type="paragraph" w:customStyle="1" w:styleId="12TABL-hroom">
    <w:name w:val="12TABL-hroom"/>
    <w:basedOn w:val="a3"/>
    <w:next w:val="a3"/>
    <w:uiPriority w:val="99"/>
    <w:rsid w:val="00580E80"/>
    <w:pPr>
      <w:suppressAutoHyphens/>
      <w:spacing w:after="200" w:line="200" w:lineRule="atLeast"/>
      <w:jc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a"/>
    <w:uiPriority w:val="99"/>
    <w:rsid w:val="00580E80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customStyle="1" w:styleId="12TABL-bull">
    <w:name w:val="12TABL-bull"/>
    <w:basedOn w:val="12TABL-txt"/>
    <w:next w:val="a3"/>
    <w:uiPriority w:val="99"/>
    <w:rsid w:val="00580E80"/>
    <w:pPr>
      <w:tabs>
        <w:tab w:val="left" w:pos="283"/>
      </w:tabs>
      <w:ind w:left="283" w:hanging="283"/>
    </w:pPr>
  </w:style>
  <w:style w:type="character" w:customStyle="1" w:styleId="Italic">
    <w:name w:val="Italic"/>
    <w:uiPriority w:val="99"/>
    <w:rsid w:val="00580E80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580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0E80"/>
  </w:style>
  <w:style w:type="paragraph" w:styleId="a6">
    <w:name w:val="footer"/>
    <w:basedOn w:val="a"/>
    <w:link w:val="a7"/>
    <w:uiPriority w:val="99"/>
    <w:semiHidden/>
    <w:unhideWhenUsed/>
    <w:rsid w:val="00580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0E80"/>
  </w:style>
  <w:style w:type="paragraph" w:styleId="a8">
    <w:name w:val="Body Text"/>
    <w:basedOn w:val="a"/>
    <w:link w:val="a9"/>
    <w:uiPriority w:val="1"/>
    <w:qFormat/>
    <w:rsid w:val="00580E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580E80"/>
    <w:rPr>
      <w:rFonts w:ascii="Arial" w:eastAsia="Arial" w:hAnsi="Arial" w:cs="Arial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58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tagureeva</cp:lastModifiedBy>
  <cp:revision>4</cp:revision>
  <dcterms:created xsi:type="dcterms:W3CDTF">2021-03-15T16:06:00Z</dcterms:created>
  <dcterms:modified xsi:type="dcterms:W3CDTF">2021-04-16T11:18:00Z</dcterms:modified>
</cp:coreProperties>
</file>