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142"/>
        <w:gridCol w:w="825"/>
        <w:gridCol w:w="180"/>
        <w:gridCol w:w="4098"/>
      </w:tblGrid>
      <w:tr>
        <w:tblPrEx/>
        <w:trPr>
          <w:trHeight w:val="691"/>
        </w:trPr>
        <w:tc>
          <w:tcPr>
            <w:tcW w:w="4361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gridSpan w:val="3"/>
            <w:tcW w:w="1147" w:type="dxa"/>
            <w:textDirection w:val="lrTb"/>
            <w:noWrap w:val="false"/>
          </w:tcPr>
          <w:p>
            <w:r>
              <w:t xml:space="preserve"> </w:t>
            </w:r>
            <w:r>
              <w:rPr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1495" cy="510540"/>
                      <wp:effectExtent l="19050" t="0" r="1905" b="0"/>
                      <wp:docPr id="1" name="Рисунок 11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1495" cy="510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85pt;height:40.20pt;mso-wrap-distance-left:0.00pt;mso-wrap-distance-top:0.00pt;mso-wrap-distance-right:0.00pt;mso-wrap-distance-bottom:0.00pt;" stroked="f" strokeweight="0.75pt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W w:w="4098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</w:tr>
      <w:tr>
        <w:tblPrEx/>
        <w:trPr/>
        <w:tc>
          <w:tcPr>
            <w:gridSpan w:val="2"/>
            <w:tcW w:w="4503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ЧĂВАШ </w:t>
            </w:r>
            <w:r>
              <w:rPr>
                <w:b/>
                <w:sz w:val="20"/>
                <w:szCs w:val="20"/>
              </w:rPr>
              <w:t xml:space="preserve">P</w:t>
            </w:r>
            <w:r>
              <w:rPr>
                <w:b/>
                <w:sz w:val="20"/>
                <w:szCs w:val="20"/>
              </w:rPr>
              <w:t xml:space="preserve">ЕСПУБЛИКИН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ВĚРЕНӲ МИНИСТЕРСТВИ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09"/>
              <w:jc w:val="center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4278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МИНИСТЕРСТВО ОБРАЗОВАНИЯ </w:t>
            </w:r>
            <w:r>
              <w:rPr>
                <w:b/>
                <w:sz w:val="20"/>
                <w:szCs w:val="26"/>
              </w:rPr>
            </w:r>
            <w:r>
              <w:rPr>
                <w:b/>
                <w:sz w:val="20"/>
                <w:szCs w:val="26"/>
              </w:rPr>
            </w:r>
          </w:p>
          <w:p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6"/>
              </w:rPr>
              <w:t xml:space="preserve">ЧУВАШСКОЙ РЕСПУБЛИКИ</w:t>
            </w: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4503" w:type="dxa"/>
            <w:textDirection w:val="lrTb"/>
            <w:noWrap w:val="false"/>
          </w:tcPr>
          <w:p>
            <w:pPr>
              <w:pStyle w:val="909"/>
              <w:jc w:val="center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 xml:space="preserve">ПРИКАЗ</w:t>
            </w:r>
            <w:r>
              <w:rPr>
                <w:bCs w:val="0"/>
                <w:szCs w:val="20"/>
              </w:rPr>
            </w:r>
            <w:r>
              <w:rPr>
                <w:bCs w:val="0"/>
                <w:szCs w:val="20"/>
              </w:rPr>
            </w:r>
          </w:p>
          <w:p>
            <w:pPr>
              <w:pStyle w:val="909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sz w:val="26"/>
                <w:szCs w:val="26"/>
              </w:rPr>
              <w:t xml:space="preserve">29.11.2024              1479 №</w:t>
            </w:r>
            <w:r>
              <w:rPr>
                <w:rFonts w:ascii="Tinos" w:hAnsi="Tinos" w:eastAsia="Tinos" w:cs="Tinos"/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Шупашкар</w:t>
            </w:r>
            <w:r>
              <w:rPr>
                <w:sz w:val="20"/>
                <w:szCs w:val="20"/>
              </w:rPr>
              <w:t xml:space="preserve"> хули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4278" w:type="dxa"/>
            <w:textDirection w:val="lrTb"/>
            <w:noWrap w:val="false"/>
          </w:tcPr>
          <w:p>
            <w:pPr>
              <w:pStyle w:val="909"/>
              <w:jc w:val="center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 xml:space="preserve">ПРИКАЗ</w:t>
            </w:r>
            <w:r>
              <w:rPr>
                <w:bCs w:val="0"/>
                <w:szCs w:val="20"/>
              </w:rPr>
            </w:r>
            <w:r>
              <w:rPr>
                <w:bCs w:val="0"/>
                <w:szCs w:val="20"/>
              </w:rPr>
            </w:r>
          </w:p>
          <w:p>
            <w:pPr>
              <w:pStyle w:val="909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sz w:val="26"/>
                <w:szCs w:val="26"/>
              </w:rPr>
              <w:t xml:space="preserve">29.11.2024              № 1479</w:t>
            </w:r>
            <w:r>
              <w:rPr>
                <w:rFonts w:ascii="Tinos" w:hAnsi="Tinos" w:eastAsia="Tinos" w:cs="Tinos"/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Чебоксары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right="5387"/>
        <w:jc w:val="both"/>
        <w:spacing w:before="480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О </w:t>
      </w:r>
      <w:r>
        <w:rPr>
          <w:rFonts w:ascii="Tinos" w:hAnsi="Tinos" w:eastAsia="Tinos" w:cs="Tinos"/>
          <w:sz w:val="26"/>
          <w:szCs w:val="26"/>
        </w:rPr>
        <w:t xml:space="preserve">местах </w:t>
      </w:r>
      <w:r>
        <w:rPr>
          <w:rFonts w:ascii="Tinos" w:hAnsi="Tinos" w:eastAsia="Tinos" w:cs="Tinos"/>
          <w:sz w:val="26"/>
          <w:szCs w:val="26"/>
        </w:rPr>
        <w:t xml:space="preserve">информирования </w:t>
      </w:r>
      <w:r>
        <w:rPr>
          <w:rFonts w:ascii="Tinos" w:hAnsi="Tinos" w:eastAsia="Tinos" w:cs="Tinos"/>
          <w:sz w:val="26"/>
          <w:szCs w:val="26"/>
        </w:rPr>
        <w:br/>
      </w:r>
      <w:r>
        <w:rPr>
          <w:rFonts w:ascii="Tinos" w:hAnsi="Tinos" w:eastAsia="Tinos" w:cs="Tinos"/>
          <w:sz w:val="26"/>
          <w:szCs w:val="26"/>
        </w:rPr>
        <w:t xml:space="preserve">о результатах ГИА, </w:t>
      </w:r>
      <w:r>
        <w:rPr>
          <w:rFonts w:ascii="Tinos" w:hAnsi="Tinos" w:eastAsia="Tinos" w:cs="Tinos"/>
          <w:sz w:val="26"/>
          <w:szCs w:val="26"/>
        </w:rPr>
        <w:t xml:space="preserve">подачи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и рассмотрения апелляций в 20</w:t>
      </w:r>
      <w:r>
        <w:rPr>
          <w:rFonts w:ascii="Tinos" w:hAnsi="Tinos" w:eastAsia="Tinos" w:cs="Tinos"/>
          <w:sz w:val="26"/>
          <w:szCs w:val="26"/>
        </w:rPr>
        <w:t xml:space="preserve">25</w:t>
      </w:r>
      <w:r>
        <w:rPr>
          <w:rFonts w:ascii="Tinos" w:hAnsi="Tinos" w:eastAsia="Tinos" w:cs="Tinos"/>
          <w:sz w:val="26"/>
          <w:szCs w:val="26"/>
        </w:rPr>
        <w:t xml:space="preserve"> году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930"/>
        <w:spacing w:before="480"/>
        <w:tabs>
          <w:tab w:val="left" w:pos="851" w:leader="none"/>
          <w:tab w:val="left" w:pos="993" w:leader="none"/>
        </w:tabs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color w:val="ff0000"/>
          <w:sz w:val="26"/>
          <w:szCs w:val="26"/>
        </w:rPr>
        <w:tab/>
      </w:r>
      <w:r>
        <w:rPr>
          <w:rFonts w:ascii="Tinos" w:hAnsi="Tinos" w:eastAsia="Tinos" w:cs="Tinos"/>
          <w:sz w:val="26"/>
          <w:szCs w:val="26"/>
        </w:rPr>
        <w:t xml:space="preserve">В соответствии с Поряд</w:t>
      </w:r>
      <w:r>
        <w:rPr>
          <w:rFonts w:ascii="Tinos" w:hAnsi="Tinos" w:eastAsia="Tinos" w:cs="Tinos"/>
          <w:sz w:val="26"/>
          <w:szCs w:val="26"/>
        </w:rPr>
        <w:t xml:space="preserve">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от 4 апреля 2023 г.</w:t>
      </w:r>
      <w:r>
        <w:rPr>
          <w:rFonts w:ascii="Tinos" w:hAnsi="Tinos" w:eastAsia="Tinos" w:cs="Tinos"/>
          <w:sz w:val="26"/>
          <w:szCs w:val="26"/>
        </w:rPr>
        <w:t xml:space="preserve">  </w:t>
      </w:r>
      <w:r>
        <w:rPr>
          <w:rFonts w:ascii="Tinos" w:hAnsi="Tinos" w:eastAsia="Tinos" w:cs="Tinos"/>
          <w:sz w:val="26"/>
          <w:szCs w:val="26"/>
        </w:rPr>
        <w:t xml:space="preserve"> № 233/552 (зарегистрированным Министерством юстиции Российской Федерации 15 мая 2023 г., регистрационный №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73314), Порядком проведения государственной итоговой аттестации по образовательным программам основного общего образования, утвержденным приказом</w:t>
      </w:r>
      <w:r>
        <w:rPr>
          <w:rFonts w:ascii="Tinos" w:hAnsi="Tinos" w:eastAsia="Tinos" w:cs="Tinos"/>
          <w:sz w:val="26"/>
          <w:szCs w:val="26"/>
        </w:rPr>
        <w:t xml:space="preserve"> Министерства просвещения Российской Федерации и Федеральной службы по надзору в сфере образования и науки от </w:t>
      </w:r>
      <w:r>
        <w:rPr>
          <w:rFonts w:ascii="Tinos" w:hAnsi="Tinos" w:eastAsia="Tinos" w:cs="Tinos"/>
          <w:sz w:val="26"/>
          <w:szCs w:val="26"/>
        </w:rPr>
        <w:t xml:space="preserve">         </w:t>
      </w:r>
      <w:r>
        <w:rPr>
          <w:rFonts w:ascii="Tinos" w:hAnsi="Tinos" w:eastAsia="Tinos" w:cs="Tinos"/>
          <w:sz w:val="26"/>
          <w:szCs w:val="26"/>
        </w:rPr>
        <w:t xml:space="preserve">4 апреля 2023 г. № 232/551 (зарегистрирован Министерством юстиции Российской </w:t>
      </w:r>
      <w:r>
        <w:rPr>
          <w:rFonts w:ascii="Tinos" w:hAnsi="Tinos" w:eastAsia="Tinos" w:cs="Tinos"/>
          <w:sz w:val="26"/>
          <w:szCs w:val="26"/>
        </w:rPr>
        <w:t xml:space="preserve">Федерации 12 мая 2023 г., регистрационный №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73292), </w:t>
      </w:r>
      <w:r>
        <w:rPr>
          <w:rFonts w:ascii="Tinos" w:hAnsi="Tinos" w:eastAsia="Tinos" w:cs="Tinos"/>
          <w:sz w:val="26"/>
          <w:szCs w:val="26"/>
        </w:rPr>
        <w:t xml:space="preserve">п</w:t>
      </w:r>
      <w:r>
        <w:rPr>
          <w:rFonts w:ascii="Tinos" w:hAnsi="Tinos" w:eastAsia="Tinos" w:cs="Tinos"/>
          <w:sz w:val="26"/>
          <w:szCs w:val="26"/>
        </w:rPr>
        <w:t xml:space="preserve"> р и к а з ы в а ю: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930"/>
        <w:numPr>
          <w:ilvl w:val="0"/>
          <w:numId w:val="1"/>
        </w:numPr>
        <w:ind w:hanging="498"/>
        <w:keepNext w:val="0"/>
        <w:tabs>
          <w:tab w:val="left" w:pos="851" w:leader="none"/>
          <w:tab w:val="left" w:pos="993" w:leader="none"/>
        </w:tabs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У</w:t>
      </w:r>
      <w:r>
        <w:rPr>
          <w:rFonts w:ascii="Tinos" w:hAnsi="Tinos" w:eastAsia="Tinos" w:cs="Tinos"/>
          <w:sz w:val="26"/>
          <w:szCs w:val="26"/>
        </w:rPr>
        <w:t xml:space="preserve">твердить</w:t>
      </w:r>
      <w:r>
        <w:rPr>
          <w:rFonts w:ascii="Tinos" w:hAnsi="Tinos" w:eastAsia="Tinos" w:cs="Tinos"/>
          <w:sz w:val="26"/>
          <w:szCs w:val="26"/>
        </w:rPr>
        <w:t xml:space="preserve">: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930"/>
        <w:ind w:firstLine="567"/>
        <w:keepNext w:val="0"/>
        <w:tabs>
          <w:tab w:val="left" w:pos="851" w:leader="none"/>
          <w:tab w:val="left" w:pos="993" w:leader="none"/>
        </w:tabs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места информирования участников ГИА-11 о результатах ГИА-11, подачи и рассмотрения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 апелляций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 о 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несогласии 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с выставленными баллами участников ГИА-11 на территории Чувашской Республики в 20</w:t>
      </w:r>
      <w:r>
        <w:rPr>
          <w:rFonts w:ascii="Tinos" w:hAnsi="Tinos" w:eastAsia="Tinos" w:cs="Tinos"/>
          <w:sz w:val="26"/>
          <w:szCs w:val="26"/>
        </w:rPr>
        <w:t xml:space="preserve">25</w:t>
      </w:r>
      <w:r>
        <w:rPr>
          <w:rFonts w:ascii="Tinos" w:hAnsi="Tinos" w:eastAsia="Tinos" w:cs="Tinos"/>
          <w:sz w:val="26"/>
          <w:szCs w:val="26"/>
        </w:rPr>
        <w:t xml:space="preserve"> году (приложение 1);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930"/>
        <w:ind w:firstLine="567"/>
        <w:keepNext w:val="0"/>
        <w:tabs>
          <w:tab w:val="left" w:pos="851" w:leader="none"/>
          <w:tab w:val="left" w:pos="993" w:leader="none"/>
        </w:tabs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м</w:t>
      </w:r>
      <w:r>
        <w:rPr>
          <w:rFonts w:ascii="Tinos" w:hAnsi="Tinos" w:eastAsia="Tinos" w:cs="Tinos"/>
          <w:sz w:val="26"/>
          <w:szCs w:val="26"/>
        </w:rPr>
        <w:t xml:space="preserve">еста </w:t>
      </w:r>
      <w:r>
        <w:rPr>
          <w:rFonts w:ascii="Tinos" w:hAnsi="Tinos" w:eastAsia="Tinos" w:cs="Tinos"/>
          <w:sz w:val="26"/>
          <w:szCs w:val="26"/>
        </w:rPr>
        <w:t xml:space="preserve">информирования </w:t>
      </w:r>
      <w:r>
        <w:rPr>
          <w:rFonts w:ascii="Tinos" w:hAnsi="Tinos" w:eastAsia="Tinos" w:cs="Tinos"/>
          <w:sz w:val="26"/>
          <w:szCs w:val="26"/>
        </w:rPr>
        <w:t xml:space="preserve">участников </w:t>
      </w:r>
      <w:r>
        <w:rPr>
          <w:rFonts w:ascii="Tinos" w:hAnsi="Tinos" w:eastAsia="Tinos" w:cs="Tinos"/>
          <w:sz w:val="26"/>
          <w:szCs w:val="26"/>
        </w:rPr>
        <w:t xml:space="preserve">ГИА-9 </w:t>
      </w:r>
      <w:r>
        <w:rPr>
          <w:rFonts w:ascii="Tinos" w:hAnsi="Tinos" w:eastAsia="Tinos" w:cs="Tinos"/>
          <w:sz w:val="26"/>
          <w:szCs w:val="26"/>
        </w:rPr>
        <w:t xml:space="preserve">о результатах </w:t>
      </w:r>
      <w:r>
        <w:rPr>
          <w:rFonts w:ascii="Tinos" w:hAnsi="Tinos" w:eastAsia="Tinos" w:cs="Tinos"/>
          <w:sz w:val="26"/>
          <w:szCs w:val="26"/>
        </w:rPr>
        <w:t xml:space="preserve">ГИА-9</w:t>
      </w:r>
      <w:r>
        <w:rPr>
          <w:rFonts w:ascii="Tinos" w:hAnsi="Tinos" w:eastAsia="Tinos" w:cs="Tinos"/>
          <w:sz w:val="26"/>
          <w:szCs w:val="26"/>
        </w:rPr>
        <w:t xml:space="preserve">, </w:t>
      </w:r>
      <w:r>
        <w:rPr>
          <w:rFonts w:ascii="Tinos" w:hAnsi="Tinos" w:eastAsia="Tinos" w:cs="Tinos"/>
          <w:sz w:val="26"/>
          <w:szCs w:val="26"/>
        </w:rPr>
        <w:t xml:space="preserve">подачи и рассмотрения апелляций </w:t>
      </w:r>
      <w:r>
        <w:rPr>
          <w:rFonts w:ascii="Tinos" w:hAnsi="Tinos" w:eastAsia="Tinos" w:cs="Tinos"/>
          <w:sz w:val="26"/>
          <w:szCs w:val="26"/>
        </w:rPr>
        <w:t xml:space="preserve">о несогласии с выставленными баллами </w:t>
      </w:r>
      <w:r>
        <w:rPr>
          <w:rFonts w:ascii="Tinos" w:hAnsi="Tinos" w:eastAsia="Tinos" w:cs="Tinos"/>
          <w:sz w:val="26"/>
          <w:szCs w:val="26"/>
        </w:rPr>
        <w:t xml:space="preserve">участников </w:t>
      </w:r>
      <w:r>
        <w:rPr>
          <w:rFonts w:ascii="Tinos" w:hAnsi="Tinos" w:eastAsia="Tinos" w:cs="Tinos"/>
          <w:sz w:val="26"/>
          <w:szCs w:val="26"/>
        </w:rPr>
        <w:t xml:space="preserve">ГИА</w:t>
      </w:r>
      <w:r>
        <w:rPr>
          <w:rFonts w:ascii="Tinos" w:hAnsi="Tinos" w:eastAsia="Tinos" w:cs="Tinos"/>
          <w:sz w:val="26"/>
          <w:szCs w:val="26"/>
        </w:rPr>
        <w:t xml:space="preserve">-9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на территории Чувашской Республики в 20</w:t>
      </w:r>
      <w:r>
        <w:rPr>
          <w:rFonts w:ascii="Tinos" w:hAnsi="Tinos" w:eastAsia="Tinos" w:cs="Tinos"/>
          <w:sz w:val="26"/>
          <w:szCs w:val="26"/>
        </w:rPr>
        <w:t xml:space="preserve">25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году </w:t>
      </w:r>
      <w:r>
        <w:rPr>
          <w:rFonts w:ascii="Tinos" w:hAnsi="Tinos" w:eastAsia="Tinos" w:cs="Tinos"/>
          <w:sz w:val="26"/>
          <w:szCs w:val="26"/>
        </w:rPr>
        <w:t xml:space="preserve">(приложение</w:t>
      </w:r>
      <w:r>
        <w:rPr>
          <w:rFonts w:ascii="Tinos" w:hAnsi="Tinos" w:eastAsia="Tinos" w:cs="Tinos"/>
          <w:sz w:val="26"/>
          <w:szCs w:val="26"/>
        </w:rPr>
        <w:t xml:space="preserve"> 2</w:t>
      </w:r>
      <w:r>
        <w:rPr>
          <w:rFonts w:ascii="Tinos" w:hAnsi="Tinos" w:eastAsia="Tinos" w:cs="Tinos"/>
          <w:sz w:val="26"/>
          <w:szCs w:val="26"/>
        </w:rPr>
        <w:t xml:space="preserve">)</w:t>
      </w:r>
      <w:r>
        <w:rPr>
          <w:rFonts w:ascii="Tinos" w:hAnsi="Tinos" w:eastAsia="Tinos" w:cs="Tinos"/>
          <w:sz w:val="26"/>
          <w:szCs w:val="26"/>
        </w:rPr>
        <w:t xml:space="preserve">.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963"/>
        <w:numPr>
          <w:ilvl w:val="0"/>
          <w:numId w:val="1"/>
        </w:numPr>
        <w:ind w:left="0" w:firstLine="567"/>
        <w:jc w:val="both"/>
        <w:tabs>
          <w:tab w:val="left" w:pos="851" w:leader="none"/>
          <w:tab w:val="left" w:pos="993" w:leader="none"/>
        </w:tabs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Руководителям </w:t>
      </w:r>
      <w:r>
        <w:rPr>
          <w:rFonts w:ascii="Tinos" w:hAnsi="Tinos" w:eastAsia="Tinos" w:cs="Tinos"/>
          <w:sz w:val="26"/>
          <w:szCs w:val="26"/>
        </w:rPr>
        <w:t xml:space="preserve">органов управления образованием </w:t>
      </w:r>
      <w:r>
        <w:rPr>
          <w:rFonts w:ascii="Tinos" w:hAnsi="Tinos" w:eastAsia="Tinos" w:cs="Tinos"/>
          <w:sz w:val="26"/>
          <w:szCs w:val="26"/>
        </w:rPr>
        <w:t xml:space="preserve">муниципальных</w:t>
      </w:r>
      <w:r>
        <w:rPr>
          <w:rFonts w:ascii="Tinos" w:hAnsi="Tinos" w:eastAsia="Tinos" w:cs="Tinos"/>
          <w:sz w:val="26"/>
          <w:szCs w:val="26"/>
        </w:rPr>
        <w:t xml:space="preserve"> округов</w:t>
      </w:r>
      <w:r>
        <w:rPr>
          <w:rFonts w:ascii="Tinos" w:hAnsi="Tinos" w:eastAsia="Tinos" w:cs="Tinos"/>
          <w:sz w:val="26"/>
          <w:szCs w:val="26"/>
        </w:rPr>
        <w:t xml:space="preserve"> и городских округов</w:t>
      </w:r>
      <w:r>
        <w:rPr>
          <w:rFonts w:ascii="Tinos" w:hAnsi="Tinos" w:eastAsia="Tinos" w:cs="Tinos"/>
          <w:sz w:val="26"/>
          <w:szCs w:val="26"/>
        </w:rPr>
        <w:t xml:space="preserve">, руководителям </w:t>
      </w:r>
      <w:r>
        <w:rPr>
          <w:rFonts w:ascii="Tinos" w:hAnsi="Tinos" w:eastAsia="Tinos" w:cs="Tinos"/>
          <w:sz w:val="26"/>
          <w:szCs w:val="26"/>
        </w:rPr>
        <w:t xml:space="preserve">организаций </w:t>
      </w:r>
      <w:r>
        <w:rPr>
          <w:rFonts w:ascii="Tinos" w:hAnsi="Tinos" w:eastAsia="Tinos" w:cs="Tinos"/>
          <w:sz w:val="26"/>
          <w:szCs w:val="26"/>
        </w:rPr>
        <w:t xml:space="preserve">профессионального образования, руководителям общеобразовательных </w:t>
      </w:r>
      <w:r>
        <w:rPr>
          <w:rFonts w:ascii="Tinos" w:hAnsi="Tinos" w:eastAsia="Tinos" w:cs="Tinos"/>
          <w:sz w:val="26"/>
          <w:szCs w:val="26"/>
        </w:rPr>
        <w:t xml:space="preserve">организаций </w:t>
      </w:r>
      <w:r>
        <w:rPr>
          <w:rFonts w:ascii="Tinos" w:hAnsi="Tinos" w:eastAsia="Tinos" w:cs="Tinos"/>
          <w:sz w:val="26"/>
          <w:szCs w:val="26"/>
        </w:rPr>
        <w:t xml:space="preserve">довести данный приказ до участников </w:t>
      </w:r>
      <w:r>
        <w:rPr>
          <w:rFonts w:ascii="Tinos" w:hAnsi="Tinos" w:eastAsia="Tinos" w:cs="Tinos"/>
          <w:sz w:val="26"/>
          <w:szCs w:val="26"/>
        </w:rPr>
        <w:t xml:space="preserve">ГИА-9 и ГИА-11</w:t>
      </w:r>
      <w:r>
        <w:rPr>
          <w:rFonts w:ascii="Tinos" w:hAnsi="Tinos" w:eastAsia="Tinos" w:cs="Tinos"/>
          <w:sz w:val="26"/>
          <w:szCs w:val="26"/>
        </w:rPr>
        <w:t xml:space="preserve">, их родителей </w:t>
      </w:r>
      <w:r>
        <w:rPr>
          <w:rFonts w:ascii="Tinos" w:hAnsi="Tinos" w:eastAsia="Tinos" w:cs="Tinos"/>
          <w:sz w:val="26"/>
          <w:szCs w:val="26"/>
        </w:rPr>
        <w:t xml:space="preserve">(законных представителей).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963"/>
        <w:numPr>
          <w:ilvl w:val="0"/>
          <w:numId w:val="1"/>
        </w:numPr>
        <w:ind w:left="0" w:firstLine="567"/>
        <w:jc w:val="both"/>
        <w:tabs>
          <w:tab w:val="left" w:pos="851" w:leader="none"/>
          <w:tab w:val="left" w:pos="993" w:leader="none"/>
        </w:tabs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БУ «Республиканский центр новых образовательных технологий» Минобразования Чувашии (</w:t>
      </w:r>
      <w:r>
        <w:rPr>
          <w:rFonts w:ascii="Tinos" w:hAnsi="Tinos" w:eastAsia="Tinos" w:cs="Tinos"/>
          <w:sz w:val="26"/>
          <w:szCs w:val="26"/>
        </w:rPr>
        <w:t xml:space="preserve">Дмитриева О.С.)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разместить</w:t>
      </w:r>
      <w:r>
        <w:rPr>
          <w:rFonts w:ascii="Tinos" w:hAnsi="Tinos" w:eastAsia="Tinos" w:cs="Tinos"/>
          <w:sz w:val="26"/>
          <w:szCs w:val="26"/>
        </w:rPr>
        <w:t xml:space="preserve"> информацию</w:t>
      </w:r>
      <w:r>
        <w:rPr>
          <w:rFonts w:ascii="Tinos" w:hAnsi="Tinos" w:eastAsia="Tinos" w:cs="Tinos"/>
          <w:sz w:val="26"/>
          <w:szCs w:val="26"/>
        </w:rPr>
        <w:t xml:space="preserve"> о местах информирования о результатах ГИА, подачи</w:t>
      </w:r>
      <w:r>
        <w:rPr>
          <w:rFonts w:ascii="Tinos" w:hAnsi="Tinos" w:eastAsia="Tinos" w:cs="Tinos"/>
          <w:sz w:val="26"/>
          <w:szCs w:val="26"/>
        </w:rPr>
        <w:t xml:space="preserve"> и рассмотрения апелляций в 2025</w:t>
      </w:r>
      <w:r>
        <w:rPr>
          <w:rFonts w:ascii="Tinos" w:hAnsi="Tinos" w:eastAsia="Tinos" w:cs="Tinos"/>
          <w:sz w:val="26"/>
          <w:szCs w:val="26"/>
        </w:rPr>
        <w:t xml:space="preserve"> году</w:t>
      </w:r>
      <w:r>
        <w:rPr>
          <w:rFonts w:ascii="Tinos" w:hAnsi="Tinos" w:eastAsia="Tinos" w:cs="Tinos"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на официальном сайте информационно-технологической поддержки госуд</w:t>
      </w:r>
      <w:r>
        <w:rPr>
          <w:rFonts w:ascii="Tinos" w:hAnsi="Tinos" w:eastAsia="Tinos" w:cs="Tinos"/>
          <w:sz w:val="26"/>
          <w:szCs w:val="26"/>
        </w:rPr>
        <w:t xml:space="preserve">арственной итоговой аттестации </w:t>
      </w:r>
      <w:r>
        <w:rPr>
          <w:rFonts w:ascii="Tinos" w:hAnsi="Tinos" w:eastAsia="Tinos" w:cs="Tinos"/>
          <w:sz w:val="26"/>
          <w:szCs w:val="26"/>
        </w:rPr>
        <w:t xml:space="preserve">в срок до </w:t>
      </w:r>
      <w:r>
        <w:rPr>
          <w:rFonts w:ascii="Tinos" w:hAnsi="Tinos" w:eastAsia="Tinos" w:cs="Tinos"/>
          <w:sz w:val="26"/>
          <w:szCs w:val="26"/>
        </w:rPr>
        <w:t xml:space="preserve">1</w:t>
      </w:r>
      <w:r>
        <w:rPr>
          <w:rFonts w:ascii="Tinos" w:hAnsi="Tinos" w:eastAsia="Tinos" w:cs="Tinos"/>
          <w:sz w:val="26"/>
          <w:szCs w:val="26"/>
        </w:rPr>
        <w:t xml:space="preserve"> января 2025</w:t>
      </w:r>
      <w:r>
        <w:rPr>
          <w:rFonts w:ascii="Tinos" w:hAnsi="Tinos" w:eastAsia="Tinos" w:cs="Tinos"/>
          <w:sz w:val="26"/>
          <w:szCs w:val="26"/>
        </w:rPr>
        <w:t xml:space="preserve"> года.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930"/>
        <w:numPr>
          <w:ilvl w:val="0"/>
          <w:numId w:val="1"/>
        </w:numPr>
        <w:ind w:left="0" w:firstLine="567"/>
        <w:keepNext w:val="0"/>
        <w:tabs>
          <w:tab w:val="left" w:pos="851" w:leader="none"/>
          <w:tab w:val="left" w:pos="993" w:leader="none"/>
        </w:tabs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Контроль за</w:t>
      </w:r>
      <w:r>
        <w:rPr>
          <w:rFonts w:ascii="Tinos" w:hAnsi="Tinos" w:eastAsia="Tinos" w:cs="Tinos"/>
          <w:sz w:val="26"/>
          <w:szCs w:val="26"/>
        </w:rPr>
        <w:t xml:space="preserve"> исполнением приказа возложить оставляю за собой. </w:t>
      </w:r>
      <w:r>
        <w:rPr>
          <w:rFonts w:ascii="Tinos" w:hAnsi="Tinos" w:cs="Tinos"/>
          <w:sz w:val="26"/>
          <w:szCs w:val="26"/>
        </w:rPr>
      </w:r>
    </w:p>
    <w:p>
      <w:pPr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rPr>
          <w:rFonts w:ascii="Tinos" w:hAnsi="Tinos" w:cs="Tinos"/>
          <w:sz w:val="26"/>
          <w:szCs w:val="26"/>
        </w:rPr>
        <w:sectPr>
          <w:headerReference w:type="default" r:id="rId9"/>
          <w:footerReference w:type="default" r:id="rId10"/>
          <w:footerReference w:type="even" r:id="rId11"/>
          <w:footerReference w:type="first" r:id="rId12"/>
          <w:footnotePr/>
          <w:endnotePr/>
          <w:type w:val="nextPage"/>
          <w:pgSz w:w="11907" w:h="16840" w:orient="portrait"/>
          <w:pgMar w:top="709" w:right="708" w:bottom="1276" w:left="1701" w:header="720" w:footer="720" w:gutter="0"/>
          <w:cols w:num="1" w:sep="0" w:space="720" w:equalWidth="1"/>
          <w:docGrid w:linePitch="360"/>
          <w:titlePg/>
        </w:sectPr>
      </w:pPr>
      <w:r>
        <w:rPr>
          <w:rFonts w:ascii="Tinos" w:hAnsi="Tinos" w:eastAsia="Tinos" w:cs="Tinos"/>
          <w:sz w:val="26"/>
          <w:szCs w:val="26"/>
        </w:rPr>
        <w:t xml:space="preserve">И.о. министра </w:t>
      </w:r>
      <w:r>
        <w:rPr>
          <w:rFonts w:ascii="Tinos" w:hAnsi="Tinos" w:eastAsia="Tinos" w:cs="Tinos"/>
          <w:sz w:val="26"/>
          <w:szCs w:val="26"/>
        </w:rPr>
        <w:tab/>
      </w:r>
      <w:r>
        <w:rPr>
          <w:rFonts w:ascii="Tinos" w:hAnsi="Tinos" w:eastAsia="Tinos" w:cs="Tinos"/>
          <w:sz w:val="26"/>
          <w:szCs w:val="26"/>
        </w:rPr>
        <w:tab/>
      </w:r>
      <w:r>
        <w:rPr>
          <w:rFonts w:ascii="Tinos" w:hAnsi="Tinos" w:eastAsia="Tinos" w:cs="Tinos"/>
          <w:sz w:val="26"/>
          <w:szCs w:val="26"/>
        </w:rPr>
        <w:tab/>
        <w:t xml:space="preserve">                                                               </w:t>
      </w:r>
      <w:r>
        <w:rPr>
          <w:rFonts w:ascii="Tinos" w:hAnsi="Tinos" w:eastAsia="Tinos" w:cs="Tinos"/>
          <w:sz w:val="26"/>
          <w:szCs w:val="26"/>
        </w:rPr>
        <w:t xml:space="preserve"> А.А. Буданцова</w:t>
      </w:r>
      <w:r>
        <w:rPr>
          <w:rFonts w:ascii="Tinos" w:hAnsi="Tinos" w:eastAsia="Tinos" w:cs="Tinos"/>
          <w:sz w:val="26"/>
          <w:szCs w:val="26"/>
        </w:rPr>
        <w:tab/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left="10773"/>
        <w:jc w:val="right"/>
        <w:tabs>
          <w:tab w:val="left" w:pos="1714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Приложение </w:t>
      </w:r>
      <w:r>
        <w:rPr>
          <w:rFonts w:ascii="Tinos" w:hAnsi="Tinos" w:eastAsia="Tinos" w:cs="Tinos"/>
        </w:rPr>
        <w:t xml:space="preserve">1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ind w:left="10773"/>
        <w:jc w:val="right"/>
        <w:tabs>
          <w:tab w:val="left" w:pos="1714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к приказу Минобразования Чувашии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ind w:left="10773"/>
        <w:jc w:val="right"/>
        <w:tabs>
          <w:tab w:val="left" w:pos="1714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от</w:t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</w:rPr>
        <w:t xml:space="preserve">29.11.2024</w:t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</w:rPr>
        <w:t xml:space="preserve">№</w:t>
      </w:r>
      <w:r>
        <w:rPr>
          <w:rFonts w:ascii="Tinos" w:hAnsi="Tinos" w:eastAsia="Tinos" w:cs="Tinos"/>
        </w:rPr>
        <w:t xml:space="preserve">1 479</w:t>
      </w:r>
      <w:r>
        <w:rPr>
          <w:rFonts w:ascii="Tinos" w:hAnsi="Tinos" w:cs="Tinos"/>
        </w:rPr>
      </w:r>
    </w:p>
    <w:p>
      <w:pPr>
        <w:jc w:val="center"/>
        <w:tabs>
          <w:tab w:val="left" w:pos="3957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tabs>
          <w:tab w:val="left" w:pos="3957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tabs>
          <w:tab w:val="left" w:pos="3957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Места </w:t>
      </w:r>
      <w:r>
        <w:rPr>
          <w:rFonts w:ascii="Tinos" w:hAnsi="Tinos" w:eastAsia="Tinos" w:cs="Tinos"/>
        </w:rPr>
        <w:t xml:space="preserve">информирования участников государственной итоговой аттестации 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tabs>
          <w:tab w:val="left" w:pos="3957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по образовательным программам </w:t>
      </w:r>
      <w:r>
        <w:rPr>
          <w:rFonts w:ascii="Tinos" w:hAnsi="Tinos" w:eastAsia="Tinos" w:cs="Tinos"/>
        </w:rPr>
        <w:t xml:space="preserve">среднего общего образования (ГИА</w:t>
      </w:r>
      <w:r>
        <w:rPr>
          <w:rFonts w:ascii="Tinos" w:hAnsi="Tinos" w:eastAsia="Tinos" w:cs="Tinos"/>
        </w:rPr>
        <w:t xml:space="preserve">-11</w:t>
      </w:r>
      <w:r>
        <w:rPr>
          <w:rFonts w:ascii="Tinos" w:hAnsi="Tinos" w:eastAsia="Tinos" w:cs="Tinos"/>
        </w:rPr>
        <w:t xml:space="preserve">)</w:t>
      </w:r>
      <w:r>
        <w:rPr>
          <w:rFonts w:ascii="Tinos" w:hAnsi="Tinos" w:eastAsia="Tinos" w:cs="Tinos"/>
        </w:rPr>
        <w:t xml:space="preserve"> о результатах </w:t>
      </w:r>
      <w:r>
        <w:rPr>
          <w:rFonts w:ascii="Tinos" w:hAnsi="Tinos" w:eastAsia="Tinos" w:cs="Tinos"/>
        </w:rPr>
        <w:t xml:space="preserve">ГИА</w:t>
      </w:r>
      <w:r>
        <w:rPr>
          <w:rFonts w:ascii="Tinos" w:hAnsi="Tinos" w:eastAsia="Tinos" w:cs="Tinos"/>
        </w:rPr>
        <w:t xml:space="preserve">-11</w:t>
      </w:r>
      <w:r>
        <w:rPr>
          <w:rFonts w:ascii="Tinos" w:hAnsi="Tinos" w:eastAsia="Tinos" w:cs="Tinos"/>
        </w:rPr>
        <w:t xml:space="preserve">, подачи и рассмотрения апелляций о несогласии с выставленными баллами участников </w:t>
      </w:r>
      <w:r>
        <w:rPr>
          <w:rFonts w:ascii="Tinos" w:hAnsi="Tinos" w:eastAsia="Tinos" w:cs="Tinos"/>
        </w:rPr>
        <w:t xml:space="preserve">ГИА</w:t>
      </w:r>
      <w:r>
        <w:rPr>
          <w:rFonts w:ascii="Tinos" w:hAnsi="Tinos" w:eastAsia="Tinos" w:cs="Tinos"/>
        </w:rPr>
        <w:t xml:space="preserve">-11</w:t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</w:rPr>
        <w:t xml:space="preserve">на терри</w:t>
      </w:r>
      <w:r>
        <w:rPr>
          <w:rFonts w:ascii="Tinos" w:hAnsi="Tinos" w:eastAsia="Tinos" w:cs="Tinos"/>
        </w:rPr>
        <w:t xml:space="preserve">тории Чувашской Республики в 202</w:t>
      </w:r>
      <w:r>
        <w:rPr>
          <w:rFonts w:ascii="Tinos" w:hAnsi="Tinos" w:eastAsia="Tinos" w:cs="Tinos"/>
        </w:rPr>
        <w:t xml:space="preserve">5</w:t>
      </w:r>
      <w:r>
        <w:rPr>
          <w:rFonts w:ascii="Tinos" w:hAnsi="Tinos" w:eastAsia="Tinos" w:cs="Tinos"/>
        </w:rPr>
        <w:t xml:space="preserve"> году 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tabs>
          <w:tab w:val="left" w:pos="3957" w:leader="none"/>
        </w:tabs>
        <w:rPr>
          <w:rFonts w:ascii="Tinos" w:hAnsi="Tinos" w:cs="Tinos"/>
          <w:color w:val="ff0000"/>
        </w:rPr>
      </w:pPr>
      <w:r>
        <w:rPr>
          <w:rFonts w:ascii="Tinos" w:hAnsi="Tinos" w:eastAsia="Tinos" w:cs="Tinos"/>
          <w:color w:val="ff0000"/>
        </w:rPr>
      </w:r>
      <w:r>
        <w:rPr>
          <w:rFonts w:ascii="Tinos" w:hAnsi="Tinos" w:eastAsia="Tinos" w:cs="Tinos"/>
          <w:color w:val="ff0000"/>
        </w:rPr>
      </w:r>
      <w:r>
        <w:rPr>
          <w:rFonts w:ascii="Tinos" w:hAnsi="Tinos" w:cs="Tinos"/>
          <w:color w:val="ff0000"/>
        </w:rPr>
      </w:r>
    </w:p>
    <w:tbl>
      <w:tblPr>
        <w:tblW w:w="15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62"/>
        <w:gridCol w:w="2976"/>
        <w:gridCol w:w="2977"/>
        <w:gridCol w:w="3119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Категория участников ГИА</w:t>
            </w:r>
            <w:r>
              <w:rPr>
                <w:rFonts w:ascii="Tinos" w:hAnsi="Tinos" w:eastAsia="Tinos" w:cs="Tinos"/>
              </w:rPr>
              <w:t xml:space="preserve">-11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Места информирования</w:t>
            </w:r>
            <w:r>
              <w:rPr>
                <w:rFonts w:ascii="Tinos" w:hAnsi="Tinos" w:eastAsia="Tinos" w:cs="Tinos"/>
              </w:rPr>
              <w:t xml:space="preserve"> участников ГИА</w:t>
            </w:r>
            <w:r>
              <w:rPr>
                <w:rFonts w:ascii="Tinos" w:hAnsi="Tinos" w:eastAsia="Tinos" w:cs="Tinos"/>
              </w:rPr>
              <w:t xml:space="preserve">-11</w:t>
            </w:r>
            <w:r>
              <w:rPr>
                <w:rFonts w:ascii="Tinos" w:hAnsi="Tinos" w:eastAsia="Tinos" w:cs="Tinos"/>
              </w:rPr>
              <w:t xml:space="preserve"> о результатах ГИА</w:t>
            </w:r>
            <w:r>
              <w:rPr>
                <w:rFonts w:ascii="Tinos" w:hAnsi="Tinos" w:eastAsia="Tinos" w:cs="Tinos"/>
              </w:rPr>
              <w:t xml:space="preserve">-11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</w:rPr>
              <w:t xml:space="preserve">Места подачи апелляций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bCs/>
              </w:rPr>
              <w:t xml:space="preserve">Места рассмотрения апелляций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  <w:color w:val="ff0000"/>
              </w:rPr>
            </w:pPr>
            <w:r>
              <w:rPr>
                <w:rFonts w:ascii="Tinos" w:hAnsi="Tinos" w:eastAsia="Tinos" w:cs="Tinos"/>
                <w:bCs/>
                <w:color w:val="ff0000"/>
              </w:rPr>
            </w:r>
            <w:r>
              <w:rPr>
                <w:rFonts w:ascii="Tinos" w:hAnsi="Tinos" w:eastAsia="Tinos" w:cs="Tinos"/>
                <w:bCs/>
                <w:color w:val="ff0000"/>
              </w:rPr>
            </w:r>
            <w:r>
              <w:rPr>
                <w:rFonts w:ascii="Tinos" w:hAnsi="Tinos" w:cs="Tinos"/>
                <w:bCs/>
                <w:color w:val="ff0000"/>
              </w:rPr>
            </w:r>
          </w:p>
        </w:tc>
      </w:tr>
      <w:tr>
        <w:tblPrEx/>
        <w:trPr>
          <w:trHeight w:val="54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Досрочный (февраль, </w:t>
            </w:r>
            <w:r>
              <w:rPr>
                <w:rFonts w:ascii="Tinos" w:hAnsi="Tinos" w:eastAsia="Tinos" w:cs="Tinos"/>
                <w:b/>
                <w:bCs/>
              </w:rPr>
              <w:t xml:space="preserve">март-апрель 2025</w:t>
            </w:r>
            <w:r>
              <w:rPr>
                <w:rFonts w:ascii="Tinos" w:hAnsi="Tinos" w:eastAsia="Tinos" w:cs="Tinos"/>
                <w:b/>
                <w:bCs/>
              </w:rPr>
              <w:t xml:space="preserve"> г.) период ГИА-11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vAlign w:val="center"/>
            <w:textDirection w:val="lrTb"/>
            <w:noWrap w:val="false"/>
          </w:tcPr>
          <w:p>
            <w:pPr>
              <w:pStyle w:val="963"/>
              <w:ind w:left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4"/>
              </w:numPr>
              <w:ind w:left="284" w:hanging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выпускники текущего года, не имеющие академической задолженности, в том числе за итоговое сочинение (изложение), и в полном объеме выполнившие учебный план (индивидуальный учебный план);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4"/>
              </w:numPr>
              <w:ind w:left="284" w:hanging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 лица, освоившие основные образовательные программы среднего общего образования в предыдущие годы, но получившие справку об обучении в образовательной организации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8"/>
              </w:numPr>
              <w:ind w:left="284" w:hanging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         </w:t>
            </w:r>
            <w:r>
              <w:rPr>
                <w:rFonts w:ascii="Tinos" w:hAnsi="Tinos" w:eastAsia="Tinos" w:cs="Tinos"/>
              </w:rPr>
              <w:br/>
              <w:t xml:space="preserve">организации  (по месту допуска к ГИА-11, </w:t>
            </w:r>
            <w:r>
              <w:rPr>
                <w:rFonts w:ascii="Tinos" w:hAnsi="Tinos" w:eastAsia="Tinos" w:cs="Tinos"/>
                <w:bCs/>
              </w:rPr>
              <w:t xml:space="preserve">по месту регистрации на ГИА-11</w:t>
            </w:r>
            <w:r>
              <w:rPr>
                <w:rFonts w:ascii="Tinos" w:hAnsi="Tinos" w:eastAsia="Tinos" w:cs="Tinos"/>
              </w:rPr>
              <w:t xml:space="preserve">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организации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(по месту допуска к ГИА-11)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БУ «Республиканский центр новых образовательных технологий»  Минобразования Чувашии, г. Чебоксары, Школьный проезд, 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textDirection w:val="lrTb"/>
            <w:noWrap w:val="false"/>
          </w:tcPr>
          <w:p>
            <w:pPr>
              <w:pStyle w:val="963"/>
              <w:numPr>
                <w:ilvl w:val="0"/>
                <w:numId w:val="14"/>
              </w:numPr>
              <w:ind w:left="284" w:hanging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 по образовательным программам среднего профессионального образования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ind w:left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4"/>
              </w:numPr>
              <w:ind w:left="284" w:hanging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</w:t>
            </w:r>
            <w:r>
              <w:rPr>
                <w:rFonts w:ascii="Tinos" w:hAnsi="Tinos" w:eastAsia="Tinos" w:cs="Tinos"/>
              </w:rPr>
              <w:t xml:space="preserve">, получающие среднее общее образование в иностранных образовательных организациях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284" w:hanging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БУ «Республиканский центр новых образовательных </w:t>
            </w:r>
            <w:r>
              <w:rPr>
                <w:rFonts w:ascii="Tinos" w:hAnsi="Tinos" w:eastAsia="Tinos" w:cs="Tinos"/>
                <w:bCs/>
              </w:rPr>
              <w:t xml:space="preserve">технологий»  Минобразования Чувашии, г. Чебоксары, Школьный  проезд,  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  <w:t xml:space="preserve"> (по месту регистрации на ГИА-11)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БУ «Республиканский центр новых образовательных </w:t>
            </w:r>
            <w:r>
              <w:rPr>
                <w:rFonts w:ascii="Tinos" w:hAnsi="Tinos" w:eastAsia="Tinos" w:cs="Tinos"/>
                <w:bCs/>
              </w:rPr>
              <w:t xml:space="preserve">технологий»  Минобразования Чувашии, г. Чебоксары, Школьный проезд,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bCs/>
              </w:rPr>
              <w:t xml:space="preserve">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  <w:t xml:space="preserve"> (по месту регистрации на ГИА-11)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Основной (май-июль 2025</w:t>
            </w:r>
            <w:r>
              <w:rPr>
                <w:rFonts w:ascii="Tinos" w:hAnsi="Tinos" w:eastAsia="Tinos" w:cs="Tinos"/>
                <w:b/>
                <w:bCs/>
              </w:rPr>
              <w:t xml:space="preserve"> г.) период ГИА-11</w:t>
            </w:r>
            <w:r>
              <w:rPr>
                <w:rFonts w:ascii="Tinos" w:hAnsi="Tinos" w:eastAsia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>
          <w:trHeight w:val="14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vAlign w:val="center"/>
            <w:textDirection w:val="lrTb"/>
            <w:noWrap w:val="false"/>
          </w:tcPr>
          <w:p>
            <w:pPr>
              <w:pStyle w:val="963"/>
              <w:numPr>
                <w:ilvl w:val="0"/>
                <w:numId w:val="14"/>
              </w:numPr>
              <w:ind w:left="284" w:hanging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 X-XI (XII) классов, имеющие годовые отметки не ниже удовлетворительных по всем учебным предметам учебного плана за предпоследний год обучения (для участия в ЕГЭ по учебным предметам, освоение которых завершилось ранее);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ind w:left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4"/>
              </w:numPr>
              <w:ind w:left="284" w:hanging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выпускники текущего года, не имеющие академической задолженности, в том числе за итоговое сочинение (изложение), и в полном объеме выполнившие учебный план (индивидуальный учебный план);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0"/>
              </w:numPr>
              <w:ind w:left="284" w:hanging="218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</w:rPr>
              <w:t xml:space="preserve">выпускники, не завершившие </w:t>
            </w:r>
            <w:r>
              <w:rPr>
                <w:rFonts w:ascii="Tinos" w:hAnsi="Tinos" w:eastAsia="Tinos" w:cs="Tinos"/>
              </w:rPr>
              <w:t xml:space="preserve">среднее</w:t>
            </w:r>
            <w:r>
              <w:rPr>
                <w:rFonts w:ascii="Tinos" w:hAnsi="Tinos" w:eastAsia="Tinos" w:cs="Tinos"/>
              </w:rPr>
              <w:t xml:space="preserve"> общее</w:t>
            </w:r>
            <w:r>
              <w:rPr>
                <w:rFonts w:ascii="Tinos" w:hAnsi="Tinos" w:eastAsia="Tinos" w:cs="Tinos"/>
              </w:rPr>
              <w:t xml:space="preserve"> образование (не прошедшие ГИА-11</w:t>
            </w:r>
            <w:r>
              <w:rPr>
                <w:rFonts w:ascii="Tinos" w:hAnsi="Tinos" w:eastAsia="Tinos" w:cs="Tinos"/>
              </w:rPr>
              <w:t xml:space="preserve"> в предыдущие годы)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         </w:t>
            </w:r>
            <w:r>
              <w:rPr>
                <w:rFonts w:ascii="Tinos" w:hAnsi="Tinos" w:eastAsia="Tinos" w:cs="Tinos"/>
              </w:rPr>
              <w:br/>
              <w:t xml:space="preserve">организации  (по месту допуска к ГИА-11, </w:t>
            </w:r>
            <w:r>
              <w:rPr>
                <w:rFonts w:ascii="Tinos" w:hAnsi="Tinos" w:eastAsia="Tinos" w:cs="Tinos"/>
                <w:bCs/>
              </w:rPr>
              <w:t xml:space="preserve">по месту регистрации на ГИА-11</w:t>
            </w:r>
            <w:r>
              <w:rPr>
                <w:rFonts w:ascii="Tinos" w:hAnsi="Tinos" w:eastAsia="Tinos" w:cs="Tinos"/>
              </w:rPr>
              <w:t xml:space="preserve">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организации (по месту допуска к ГИА-11)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С 23.05.2025</w:t>
            </w:r>
            <w:r>
              <w:rPr>
                <w:rFonts w:ascii="Tinos" w:hAnsi="Tinos" w:eastAsia="Tinos" w:cs="Tinos"/>
                <w:bCs/>
              </w:rPr>
              <w:t xml:space="preserve"> г. 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по 30.06.2025</w:t>
            </w:r>
            <w:r>
              <w:rPr>
                <w:rFonts w:ascii="Tinos" w:hAnsi="Tinos" w:eastAsia="Tinos" w:cs="Tinos"/>
                <w:bCs/>
              </w:rPr>
              <w:t xml:space="preserve"> г. – 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БПОУ «Чебоксарское училище олимпийского резерва имени В.М. Краснова», </w:t>
            </w:r>
            <w:r>
              <w:rPr>
                <w:rFonts w:ascii="Tinos" w:hAnsi="Tinos" w:eastAsia="Tinos" w:cs="Tinos"/>
                <w:bCs/>
              </w:rPr>
              <w:t xml:space="preserve">г</w:t>
            </w:r>
            <w:r>
              <w:rPr>
                <w:rFonts w:ascii="Tinos" w:hAnsi="Tinos" w:eastAsia="Tinos" w:cs="Tinos"/>
                <w:bCs/>
              </w:rPr>
              <w:t xml:space="preserve">. Чебоксары, Школьный проезд, д. 3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С 01.07.2025</w:t>
            </w:r>
            <w:r>
              <w:rPr>
                <w:rFonts w:ascii="Tinos" w:hAnsi="Tinos" w:eastAsia="Tinos" w:cs="Tinos"/>
                <w:bCs/>
              </w:rPr>
              <w:t xml:space="preserve"> г. – БУ «Республиканский центр новых образовательных технологий»  Минобразования Чувашии, г. Чебоксары, Школьный проезд, 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  <w:color w:val="ff0000"/>
              </w:rPr>
            </w:pPr>
            <w:r>
              <w:rPr>
                <w:rFonts w:ascii="Tinos" w:hAnsi="Tinos" w:eastAsia="Tinos" w:cs="Tinos"/>
                <w:bCs/>
                <w:color w:val="ff0000"/>
              </w:rPr>
            </w:r>
            <w:r>
              <w:rPr>
                <w:rFonts w:ascii="Tinos" w:hAnsi="Tinos" w:eastAsia="Tinos" w:cs="Tinos"/>
                <w:bCs/>
                <w:color w:val="ff0000"/>
              </w:rPr>
            </w:r>
            <w:r>
              <w:rPr>
                <w:rFonts w:ascii="Tinos" w:hAnsi="Tinos" w:cs="Tinos"/>
                <w:bCs/>
                <w:color w:val="ff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vAlign w:val="center"/>
            <w:textDirection w:val="lrTb"/>
            <w:noWrap w:val="false"/>
          </w:tcPr>
          <w:p>
            <w:pPr>
              <w:pStyle w:val="963"/>
              <w:numPr>
                <w:ilvl w:val="0"/>
                <w:numId w:val="14"/>
              </w:numPr>
              <w:ind w:left="284" w:hanging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выпускники прошлых лет;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284" w:hanging="284"/>
              <w:spacing w:line="200" w:lineRule="exac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4"/>
              </w:numPr>
              <w:ind w:left="284" w:hanging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лица, обучающиеся по образовательным программам среднего профессионального образования;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1006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63"/>
              <w:numPr>
                <w:ilvl w:val="0"/>
                <w:numId w:val="14"/>
              </w:numPr>
              <w:ind w:left="284" w:hanging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</w:t>
            </w:r>
            <w:r>
              <w:rPr>
                <w:rFonts w:ascii="Tinos" w:hAnsi="Tinos" w:eastAsia="Tinos" w:cs="Tinos"/>
              </w:rPr>
              <w:t xml:space="preserve">, получающие среднее общее образование в иностранных образовательных организациях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БУ «Республиканский центр новых образовательных технологий»  Минобразования Чувашии, г. Чебоксары, Школьный  проезд,  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  <w:t xml:space="preserve"> (по месту регистрации </w:t>
            </w:r>
            <w:r>
              <w:rPr>
                <w:rFonts w:ascii="Tinos" w:hAnsi="Tinos" w:eastAsia="Tinos" w:cs="Tinos"/>
                <w:bCs/>
              </w:rPr>
              <w:t xml:space="preserve">на ГИА-11)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БУ «Республиканский центр новых образовательных технологий»  Минобразования Чувашии, г. Чебоксары, Школьный проезд, 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  <w:t xml:space="preserve"> (по месту регистрации на </w:t>
            </w:r>
            <w:r>
              <w:rPr>
                <w:rFonts w:ascii="Tinos" w:hAnsi="Tinos" w:eastAsia="Tinos" w:cs="Tinos"/>
                <w:bCs/>
              </w:rPr>
              <w:t xml:space="preserve">ГИА-11)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или 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апелляционная </w:t>
            </w:r>
            <w:r>
              <w:rPr>
                <w:rFonts w:ascii="Tinos" w:hAnsi="Tinos" w:eastAsia="Tinos" w:cs="Tinos"/>
                <w:bCs/>
              </w:rPr>
              <w:t xml:space="preserve"> комиссия Чувашской Республики (БПОУ «Чебоксарское училище олимпийского резерва имени В.М. Краснова», 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bCs/>
              </w:rPr>
              <w:t xml:space="preserve">г. Чебоксары, Школьный проезд, д. 3)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</w:r>
            <w:r>
              <w:rPr>
                <w:bCs/>
                <w:color w:val="ff000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Дополнительный (сентябрь 2025</w:t>
            </w:r>
            <w:r>
              <w:rPr>
                <w:rFonts w:ascii="Tinos" w:hAnsi="Tinos" w:eastAsia="Tinos" w:cs="Tinos"/>
                <w:b/>
                <w:bCs/>
              </w:rPr>
              <w:t xml:space="preserve"> г.) период ГИА-11</w:t>
            </w:r>
            <w:r>
              <w:rPr>
                <w:rFonts w:ascii="Tinos" w:hAnsi="Tinos" w:eastAsia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textDirection w:val="lrTb"/>
            <w:noWrap w:val="false"/>
          </w:tcPr>
          <w:p>
            <w:pPr>
              <w:pStyle w:val="963"/>
              <w:numPr>
                <w:ilvl w:val="0"/>
                <w:numId w:val="14"/>
              </w:numPr>
              <w:ind w:left="284" w:hanging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участники ГИА</w:t>
            </w:r>
            <w:r>
              <w:rPr>
                <w:rFonts w:ascii="Tinos" w:hAnsi="Tinos" w:eastAsia="Tinos" w:cs="Tinos"/>
              </w:rPr>
              <w:t xml:space="preserve">, не прошедшие ГИА или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</w:t>
            </w:r>
            <w:r>
              <w:rPr>
                <w:rFonts w:ascii="Tinos" w:hAnsi="Tinos" w:eastAsia="Tinos" w:cs="Tinos"/>
              </w:rPr>
              <w:t xml:space="preserve"> в резервные сроки</w:t>
            </w:r>
            <w:r>
              <w:rPr>
                <w:rFonts w:ascii="Tinos" w:hAnsi="Tinos" w:eastAsia="Tinos" w:cs="Tinos"/>
              </w:rPr>
              <w:t xml:space="preserve">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ind w:left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4"/>
              </w:numPr>
              <w:ind w:left="284" w:hanging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 образовательных организаций и экстерны, не допущенные к ГИА в текущем учебном году, но получившие допуск к ГИА после завершения основного периода проведения ГИА в текущем году;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ind w:left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4"/>
              </w:numPr>
              <w:ind w:left="284" w:hanging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ГИА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организации (по месту допуска к ГИА, </w:t>
            </w:r>
            <w:r>
              <w:rPr>
                <w:rFonts w:ascii="Tinos" w:hAnsi="Tinos" w:eastAsia="Tinos" w:cs="Tinos"/>
                <w:bCs/>
              </w:rPr>
              <w:t xml:space="preserve">по месту регистрации на ГИА-11</w:t>
            </w:r>
            <w:r>
              <w:rPr>
                <w:rFonts w:ascii="Tinos" w:hAnsi="Tinos" w:eastAsia="Tinos" w:cs="Tinos"/>
              </w:rPr>
              <w:t xml:space="preserve">)  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организации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(по месту допуска к ГИА-11)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БУ «Республиканский центр новых образовательных технологий»  Минобразования Чувашии, г. Чебоксары, Школьный проезд,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</w:tr>
    </w:tbl>
    <w:p>
      <w:pPr>
        <w:tabs>
          <w:tab w:val="left" w:pos="1714" w:leader="none"/>
        </w:tabs>
        <w:rPr>
          <w:rFonts w:ascii="Tinos" w:hAnsi="Tinos" w:cs="Tinos"/>
          <w:color w:val="ff0000"/>
        </w:rPr>
      </w:pPr>
      <w:r>
        <w:rPr>
          <w:rFonts w:ascii="Tinos" w:hAnsi="Tinos" w:eastAsia="Tinos" w:cs="Tinos"/>
          <w:color w:val="ff0000"/>
        </w:rPr>
      </w:r>
      <w:r>
        <w:rPr>
          <w:rFonts w:ascii="Tinos" w:hAnsi="Tinos" w:eastAsia="Tinos" w:cs="Tinos"/>
          <w:color w:val="ff0000"/>
        </w:rPr>
      </w:r>
      <w:r>
        <w:rPr>
          <w:rFonts w:ascii="Tinos" w:hAnsi="Tinos" w:cs="Tinos"/>
          <w:color w:val="ff0000"/>
        </w:rPr>
      </w:r>
    </w:p>
    <w:p>
      <w:pPr>
        <w:tabs>
          <w:tab w:val="left" w:pos="1714" w:leader="none"/>
        </w:tabs>
        <w:rPr>
          <w:rFonts w:ascii="Tinos" w:hAnsi="Tinos" w:cs="Tinos"/>
          <w:color w:val="ff0000"/>
        </w:rPr>
      </w:pPr>
      <w:r>
        <w:rPr>
          <w:rFonts w:ascii="Tinos" w:hAnsi="Tinos" w:eastAsia="Tinos" w:cs="Tinos"/>
          <w:color w:val="ff0000"/>
        </w:rPr>
      </w:r>
      <w:r>
        <w:rPr>
          <w:rFonts w:ascii="Tinos" w:hAnsi="Tinos" w:eastAsia="Tinos" w:cs="Tinos"/>
          <w:color w:val="ff0000"/>
        </w:rPr>
      </w:r>
      <w:r>
        <w:rPr>
          <w:rFonts w:ascii="Tinos" w:hAnsi="Tinos" w:cs="Tinos"/>
          <w:color w:val="ff0000"/>
        </w:rPr>
      </w:r>
    </w:p>
    <w:p>
      <w:pPr>
        <w:tabs>
          <w:tab w:val="left" w:pos="1714" w:leader="none"/>
        </w:tabs>
        <w:rPr>
          <w:rFonts w:ascii="Tinos" w:hAnsi="Tinos" w:cs="Tinos"/>
          <w:color w:val="ff0000"/>
        </w:rPr>
      </w:pPr>
      <w:r>
        <w:rPr>
          <w:rFonts w:ascii="Tinos" w:hAnsi="Tinos" w:eastAsia="Tinos" w:cs="Tinos"/>
          <w:color w:val="ff0000"/>
        </w:rPr>
      </w:r>
      <w:r>
        <w:rPr>
          <w:rFonts w:ascii="Tinos" w:hAnsi="Tinos" w:eastAsia="Tinos" w:cs="Tinos"/>
          <w:color w:val="ff0000"/>
        </w:rPr>
      </w:r>
      <w:r>
        <w:rPr>
          <w:rFonts w:ascii="Tinos" w:hAnsi="Tinos" w:cs="Tinos"/>
          <w:color w:val="ff0000"/>
        </w:rPr>
      </w:r>
    </w:p>
    <w:p>
      <w:pPr>
        <w:ind w:left="10773"/>
        <w:jc w:val="right"/>
        <w:tabs>
          <w:tab w:val="left" w:pos="1714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Приложение 2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ind w:left="10773"/>
        <w:jc w:val="right"/>
        <w:tabs>
          <w:tab w:val="left" w:pos="1714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к приказу Минобразования Чувашии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ind w:left="10773"/>
        <w:jc w:val="right"/>
        <w:tabs>
          <w:tab w:val="left" w:pos="1714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от 29.11.2024</w:t>
      </w:r>
      <w:r>
        <w:rPr>
          <w:rFonts w:ascii="Tinos" w:hAnsi="Tinos" w:eastAsia="Tinos" w:cs="Tinos"/>
        </w:rPr>
        <w:t xml:space="preserve"> </w:t>
      </w:r>
      <w:bookmarkStart w:id="0" w:name="_GoBack"/>
      <w:r>
        <w:rPr>
          <w:rFonts w:ascii="Tinos" w:hAnsi="Tinos" w:eastAsia="Tinos" w:cs="Tinos"/>
        </w:rPr>
      </w:r>
      <w:bookmarkEnd w:id="0"/>
      <w:r>
        <w:rPr>
          <w:rFonts w:ascii="Tinos" w:hAnsi="Tinos" w:eastAsia="Tinos" w:cs="Tinos"/>
        </w:rPr>
        <w:t xml:space="preserve">№</w:t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</w:rPr>
        <w:t xml:space="preserve">1479</w:t>
      </w:r>
      <w:r>
        <w:rPr>
          <w:rFonts w:ascii="Tinos" w:hAnsi="Tinos" w:cs="Tinos"/>
        </w:rPr>
      </w:r>
    </w:p>
    <w:p>
      <w:pPr>
        <w:jc w:val="right"/>
        <w:tabs>
          <w:tab w:val="left" w:pos="3957" w:leader="none"/>
        </w:tabs>
        <w:rPr>
          <w:rFonts w:ascii="Tinos" w:hAnsi="Tinos" w:cs="Tinos"/>
          <w:color w:val="ff0000"/>
        </w:rPr>
      </w:pPr>
      <w:r>
        <w:rPr>
          <w:rFonts w:ascii="Tinos" w:hAnsi="Tinos" w:eastAsia="Tinos" w:cs="Tinos"/>
          <w:color w:val="ff0000"/>
        </w:rPr>
      </w:r>
      <w:r>
        <w:rPr>
          <w:rFonts w:ascii="Tinos" w:hAnsi="Tinos" w:eastAsia="Tinos" w:cs="Tinos"/>
          <w:color w:val="ff0000"/>
        </w:rPr>
      </w:r>
      <w:r>
        <w:rPr>
          <w:rFonts w:ascii="Tinos" w:hAnsi="Tinos" w:cs="Tinos"/>
          <w:color w:val="ff0000"/>
        </w:rPr>
      </w:r>
    </w:p>
    <w:p>
      <w:pPr>
        <w:jc w:val="center"/>
        <w:tabs>
          <w:tab w:val="left" w:pos="3957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Места информирования участников государственной итоговой аттестации 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tabs>
          <w:tab w:val="left" w:pos="3957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по образовательным программам основного общего образования (ГИА-9) о результатах ГИА-9, 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tabs>
          <w:tab w:val="left" w:pos="3957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  <w:t xml:space="preserve">подачи и рассмотрения апелляций о несогласии с выставленными баллами участников ГИА-9 на терри</w:t>
      </w:r>
      <w:r>
        <w:rPr>
          <w:rFonts w:ascii="Tinos" w:hAnsi="Tinos" w:eastAsia="Tinos" w:cs="Tinos"/>
        </w:rPr>
        <w:t xml:space="preserve">т</w:t>
      </w:r>
      <w:r>
        <w:rPr>
          <w:rFonts w:ascii="Tinos" w:hAnsi="Tinos" w:eastAsia="Tinos" w:cs="Tinos"/>
        </w:rPr>
        <w:t xml:space="preserve">ории Чувашской Республики в 2025</w:t>
      </w:r>
      <w:r>
        <w:rPr>
          <w:rFonts w:ascii="Tinos" w:hAnsi="Tinos" w:eastAsia="Tinos" w:cs="Tinos"/>
        </w:rPr>
        <w:t xml:space="preserve"> году 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jc w:val="center"/>
        <w:spacing w:line="200" w:lineRule="exact"/>
        <w:tabs>
          <w:tab w:val="left" w:pos="3957" w:leader="none"/>
        </w:tabs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62"/>
        <w:gridCol w:w="2977"/>
        <w:gridCol w:w="3543"/>
        <w:gridCol w:w="2835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Категория участников ГИА-9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Места информирования участников ГИА-9 о результатах ГИА-9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</w:rPr>
              <w:t xml:space="preserve">Места подачи апелляций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bCs/>
              </w:rPr>
              <w:t xml:space="preserve">Места рассмотрения апелляций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Досрочный (февраль, </w:t>
            </w:r>
            <w:r>
              <w:rPr>
                <w:rFonts w:ascii="Tinos" w:hAnsi="Tinos" w:eastAsia="Tinos" w:cs="Tinos"/>
                <w:b/>
                <w:bCs/>
              </w:rPr>
              <w:t xml:space="preserve">апрель</w:t>
            </w:r>
            <w:r>
              <w:rPr>
                <w:rFonts w:ascii="Tinos" w:hAnsi="Tinos" w:eastAsia="Tinos" w:cs="Tinos"/>
                <w:b/>
                <w:bCs/>
              </w:rPr>
              <w:t xml:space="preserve"> - май</w:t>
            </w:r>
            <w:r>
              <w:rPr>
                <w:rFonts w:ascii="Tinos" w:hAnsi="Tinos" w:eastAsia="Tinos" w:cs="Tinos"/>
                <w:b/>
                <w:bCs/>
              </w:rPr>
              <w:t xml:space="preserve"> 2025</w:t>
            </w:r>
            <w:r>
              <w:rPr>
                <w:rFonts w:ascii="Tinos" w:hAnsi="Tinos" w:eastAsia="Tinos" w:cs="Tinos"/>
                <w:b/>
                <w:bCs/>
              </w:rPr>
              <w:t xml:space="preserve"> г.) период ГИА</w:t>
            </w:r>
            <w:r>
              <w:rPr>
                <w:rFonts w:ascii="Tinos" w:hAnsi="Tinos" w:eastAsia="Tinos" w:cs="Tinos"/>
                <w:b/>
                <w:bCs/>
              </w:rPr>
              <w:t xml:space="preserve">-9</w:t>
            </w:r>
            <w:r>
              <w:rPr>
                <w:rFonts w:ascii="Tinos" w:hAnsi="Tinos" w:eastAsia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textDirection w:val="lrTb"/>
            <w:noWrap w:val="false"/>
          </w:tcPr>
          <w:p>
            <w:pPr>
              <w:pStyle w:val="963"/>
              <w:numPr>
                <w:ilvl w:val="0"/>
                <w:numId w:val="18"/>
              </w:numPr>
              <w:ind w:left="284" w:hanging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ind w:left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8"/>
              </w:numPr>
              <w:ind w:left="284" w:hanging="284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участники ГИА, не имеющие возможности по уважительным причинам, подтвержденным документально, пройти ГИА в основной период проведения ГИА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         </w:t>
            </w:r>
            <w:r>
              <w:rPr>
                <w:rFonts w:ascii="Tinos" w:hAnsi="Tinos" w:eastAsia="Tinos" w:cs="Tinos"/>
              </w:rPr>
              <w:br/>
              <w:t xml:space="preserve">организации  (по месту допуска к ГИА</w:t>
            </w:r>
            <w:r>
              <w:rPr>
                <w:rFonts w:ascii="Tinos" w:hAnsi="Tinos" w:eastAsia="Tinos" w:cs="Tinos"/>
              </w:rPr>
              <w:t xml:space="preserve">-9</w:t>
            </w:r>
            <w:r>
              <w:rPr>
                <w:rFonts w:ascii="Tinos" w:hAnsi="Tinos" w:eastAsia="Tinos" w:cs="Tinos"/>
              </w:rPr>
              <w:t xml:space="preserve">, </w:t>
            </w:r>
            <w:r>
              <w:rPr>
                <w:rFonts w:ascii="Tinos" w:hAnsi="Tinos" w:eastAsia="Tinos" w:cs="Tinos"/>
                <w:bCs/>
              </w:rPr>
              <w:t xml:space="preserve">по месту регистрации на ГИА-9</w:t>
            </w:r>
            <w:r>
              <w:rPr>
                <w:rFonts w:ascii="Tinos" w:hAnsi="Tinos" w:eastAsia="Tinos" w:cs="Tinos"/>
              </w:rPr>
              <w:t xml:space="preserve">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организации </w:t>
            </w:r>
            <w:r>
              <w:rPr>
                <w:rFonts w:ascii="Tinos" w:hAnsi="Tinos" w:eastAsia="Tinos" w:cs="Tinos"/>
              </w:rPr>
              <w:t xml:space="preserve">(по месту допуска к ГИА-9</w:t>
            </w:r>
            <w:r>
              <w:rPr>
                <w:rFonts w:ascii="Tinos" w:hAnsi="Tinos" w:eastAsia="Tinos" w:cs="Tinos"/>
              </w:rPr>
              <w:t xml:space="preserve">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БУ «Республиканский центр новых образовательных технологий»  Минобразования Чувашии,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г. </w:t>
            </w:r>
            <w:r>
              <w:rPr>
                <w:rFonts w:ascii="Tinos" w:hAnsi="Tinos" w:eastAsia="Tinos" w:cs="Tinos"/>
                <w:bCs/>
              </w:rPr>
              <w:t xml:space="preserve">Ч</w:t>
            </w:r>
            <w:r>
              <w:rPr>
                <w:rFonts w:ascii="Tinos" w:hAnsi="Tinos" w:eastAsia="Tinos" w:cs="Tinos"/>
                <w:bCs/>
              </w:rPr>
              <w:t xml:space="preserve">ебоксары, Школьный проезд,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Основной (май-июль 2025</w:t>
            </w:r>
            <w:r>
              <w:rPr>
                <w:rFonts w:ascii="Tinos" w:hAnsi="Tinos" w:eastAsia="Tinos" w:cs="Tinos"/>
                <w:b/>
                <w:bCs/>
              </w:rPr>
              <w:t xml:space="preserve"> г.) период ГИА-9</w:t>
            </w:r>
            <w:r>
              <w:rPr>
                <w:rFonts w:ascii="Tinos" w:hAnsi="Tinos" w:eastAsia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>
          <w:trHeight w:val="7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textDirection w:val="lrTb"/>
            <w:noWrap w:val="false"/>
          </w:tcPr>
          <w:p>
            <w:pPr>
              <w:pStyle w:val="963"/>
              <w:numPr>
                <w:ilvl w:val="0"/>
                <w:numId w:val="10"/>
              </w:numPr>
              <w:ind w:left="284" w:hanging="218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обучающиеся, не имеющие академической задолженности</w:t>
            </w:r>
            <w:r>
              <w:rPr>
                <w:rFonts w:ascii="Tinos" w:hAnsi="Tinos" w:eastAsia="Tinos" w:cs="Tinos"/>
              </w:rPr>
              <w:t xml:space="preserve">, в том числе за итоговое собеседование по русскому языку,</w:t>
            </w:r>
            <w:r>
              <w:rPr>
                <w:rFonts w:ascii="Tinos" w:hAnsi="Tinos" w:eastAsia="Tinos" w:cs="Tinos"/>
              </w:rPr>
              <w:t xml:space="preserve"> и в полном объеме выполнившие учебный план </w:t>
            </w:r>
            <w:r>
              <w:rPr>
                <w:rFonts w:ascii="Tinos" w:hAnsi="Tinos" w:eastAsia="Tinos" w:cs="Tinos"/>
              </w:rPr>
              <w:t xml:space="preserve">(</w:t>
            </w:r>
            <w:r>
              <w:rPr>
                <w:rFonts w:ascii="Tinos" w:hAnsi="Tinos" w:eastAsia="Tinos" w:cs="Tinos"/>
              </w:rPr>
              <w:t xml:space="preserve">индивидуальный учебный план</w:t>
            </w:r>
            <w:r>
              <w:rPr>
                <w:rFonts w:ascii="Tinos" w:hAnsi="Tinos" w:eastAsia="Tinos" w:cs="Tinos"/>
              </w:rPr>
              <w:t xml:space="preserve">)</w:t>
            </w:r>
            <w:r>
              <w:rPr>
                <w:rFonts w:ascii="Tinos" w:hAnsi="Tinos" w:eastAsia="Tinos" w:cs="Tinos"/>
              </w:rPr>
              <w:t xml:space="preserve">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ind w:left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0"/>
              </w:numPr>
              <w:ind w:left="284" w:hanging="218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выпускники, не завершившие основное общее образование (не прошедшие ГИА-9</w:t>
            </w:r>
            <w:r>
              <w:rPr>
                <w:rFonts w:ascii="Tinos" w:hAnsi="Tinos" w:eastAsia="Tinos" w:cs="Tinos"/>
              </w:rPr>
              <w:t xml:space="preserve"> в предыдущие годы</w:t>
            </w:r>
            <w:r>
              <w:rPr>
                <w:rFonts w:ascii="Tinos" w:hAnsi="Tinos" w:eastAsia="Tinos" w:cs="Tinos"/>
              </w:rPr>
              <w:t xml:space="preserve">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         </w:t>
            </w:r>
            <w:r>
              <w:rPr>
                <w:rFonts w:ascii="Tinos" w:hAnsi="Tinos" w:eastAsia="Tinos" w:cs="Tinos"/>
              </w:rPr>
              <w:br/>
              <w:t xml:space="preserve">организации (по месту допуска к ГИА-9, </w:t>
            </w:r>
            <w:r>
              <w:rPr>
                <w:rFonts w:ascii="Tinos" w:hAnsi="Tinos" w:eastAsia="Tinos" w:cs="Tinos"/>
                <w:bCs/>
              </w:rPr>
              <w:t xml:space="preserve">по месту регистрации на ГИА-9</w:t>
            </w:r>
            <w:r>
              <w:rPr>
                <w:rFonts w:ascii="Tinos" w:hAnsi="Tinos" w:eastAsia="Tinos" w:cs="Tinos"/>
              </w:rPr>
              <w:t xml:space="preserve">)  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организации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(по месту допуска к ГИА-9)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С 21.05.2025</w:t>
            </w:r>
            <w:r>
              <w:rPr>
                <w:rFonts w:ascii="Tinos" w:hAnsi="Tinos" w:eastAsia="Tinos" w:cs="Tinos"/>
                <w:bCs/>
              </w:rPr>
              <w:t xml:space="preserve"> г. по 30.06.2025</w:t>
            </w:r>
            <w:r>
              <w:rPr>
                <w:rFonts w:ascii="Tinos" w:hAnsi="Tinos" w:eastAsia="Tinos" w:cs="Tinos"/>
                <w:bCs/>
              </w:rPr>
              <w:t xml:space="preserve"> г. – 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БПОУ «Чебоксарское училище олимпийского резерва имени В.М. Краснова», </w:t>
            </w:r>
            <w:r>
              <w:rPr>
                <w:rFonts w:ascii="Tinos" w:hAnsi="Tinos" w:eastAsia="Tinos" w:cs="Tinos"/>
                <w:bCs/>
              </w:rPr>
              <w:t xml:space="preserve">г</w:t>
            </w:r>
            <w:r>
              <w:rPr>
                <w:rFonts w:ascii="Tinos" w:hAnsi="Tinos" w:eastAsia="Tinos" w:cs="Tinos"/>
                <w:bCs/>
              </w:rPr>
              <w:t xml:space="preserve">. Чебоксары, Школьный проезд, д. 3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С 01.07.2025</w:t>
            </w:r>
            <w:r>
              <w:rPr>
                <w:rFonts w:ascii="Tinos" w:hAnsi="Tinos" w:eastAsia="Tinos" w:cs="Tinos"/>
                <w:bCs/>
              </w:rPr>
              <w:t xml:space="preserve"> г. – БУ «Республиканский центр новых образовательных технологий»  </w:t>
            </w:r>
            <w:r>
              <w:rPr>
                <w:rFonts w:ascii="Tinos" w:hAnsi="Tinos" w:eastAsia="Tinos" w:cs="Tinos"/>
                <w:bCs/>
              </w:rPr>
              <w:t xml:space="preserve">Минобразования Чувашии, г. Чебоксары, Школьный проезд, 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</w:rPr>
              <w:t xml:space="preserve">Д</w:t>
            </w:r>
            <w:r>
              <w:rPr>
                <w:rFonts w:ascii="Tinos" w:hAnsi="Tinos" w:eastAsia="Tinos" w:cs="Tinos"/>
                <w:b/>
                <w:bCs/>
              </w:rPr>
              <w:t xml:space="preserve">ополнительный (сентябрь 2025</w:t>
            </w:r>
            <w:r>
              <w:rPr>
                <w:rFonts w:ascii="Tinos" w:hAnsi="Tinos" w:eastAsia="Tinos" w:cs="Tinos"/>
                <w:b/>
                <w:bCs/>
              </w:rPr>
              <w:t xml:space="preserve"> г.) период ГИА-9</w:t>
            </w:r>
            <w:r>
              <w:rPr>
                <w:rFonts w:ascii="Tinos" w:hAnsi="Tinos" w:eastAsia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62" w:type="dxa"/>
            <w:textDirection w:val="lrTb"/>
            <w:noWrap w:val="false"/>
          </w:tcPr>
          <w:p>
            <w:pPr>
              <w:pStyle w:val="963"/>
              <w:numPr>
                <w:ilvl w:val="0"/>
                <w:numId w:val="11"/>
              </w:numPr>
              <w:ind w:left="284" w:hanging="218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обучающиеся, не прошедшие ГИА или получившие на ГИА неудовлетворительные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 ГИА;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ind w:left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1"/>
              </w:numPr>
              <w:ind w:left="284" w:hanging="218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обучающиеся образовательных организаций и экстерны, не допущенные к ГИА в текущем учебном году, но получившие допуск к ГИА после завершения основного периода проведения ГИА в текущем году;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ind w:left="284"/>
              <w:rPr>
                <w:rFonts w:ascii="Tinos" w:hAnsi="Tinos" w:cs="Tinos"/>
                <w:vertAlign w:val="superscript"/>
              </w:rPr>
            </w:pPr>
            <w:r>
              <w:rPr>
                <w:rFonts w:ascii="Tinos" w:hAnsi="Tinos" w:eastAsia="Tinos" w:cs="Tinos"/>
              </w:rPr>
              <w:tab/>
            </w:r>
            <w:r>
              <w:rPr>
                <w:rFonts w:ascii="Tinos" w:hAnsi="Tinos" w:eastAsia="Tinos" w:cs="Tinos"/>
                <w:vertAlign w:val="superscript"/>
              </w:rPr>
            </w:r>
            <w:r>
              <w:rPr>
                <w:rFonts w:ascii="Tinos" w:hAnsi="Tinos" w:cs="Tinos"/>
                <w:vertAlign w:val="superscript"/>
              </w:rPr>
            </w:r>
          </w:p>
          <w:p>
            <w:pPr>
              <w:pStyle w:val="963"/>
              <w:numPr>
                <w:ilvl w:val="0"/>
                <w:numId w:val="11"/>
              </w:numPr>
              <w:ind w:left="284" w:hanging="218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участники ГИА, не прошедшие ГИА, в том числе участники ГИА,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ind w:left="284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63"/>
              <w:numPr>
                <w:ilvl w:val="0"/>
                <w:numId w:val="11"/>
              </w:numPr>
              <w:ind w:left="284" w:hanging="218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участники ГИА, проходящие Г</w:t>
            </w:r>
            <w:r>
              <w:rPr>
                <w:rFonts w:ascii="Tinos" w:hAnsi="Tinos" w:eastAsia="Tinos" w:cs="Tinos"/>
              </w:rPr>
              <w:t xml:space="preserve">ИА только по обязательным учебным предметам,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         </w:t>
            </w:r>
            <w:r>
              <w:rPr>
                <w:rFonts w:ascii="Tinos" w:hAnsi="Tinos" w:eastAsia="Tinos" w:cs="Tinos"/>
              </w:rPr>
              <w:br/>
              <w:t xml:space="preserve">организации (по месту допуска к ГИА-9, </w:t>
            </w:r>
            <w:r>
              <w:rPr>
                <w:rFonts w:ascii="Tinos" w:hAnsi="Tinos" w:eastAsia="Tinos" w:cs="Tinos"/>
                <w:bCs/>
              </w:rPr>
              <w:t xml:space="preserve">по месту регистрации на ГИА-9</w:t>
            </w:r>
            <w:r>
              <w:rPr>
                <w:rFonts w:ascii="Tinos" w:hAnsi="Tinos" w:eastAsia="Tinos" w:cs="Tinos"/>
              </w:rPr>
              <w:t xml:space="preserve">)  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Образовательные </w:t>
            </w:r>
            <w:r>
              <w:rPr>
                <w:rFonts w:ascii="Tinos" w:hAnsi="Tinos" w:eastAsia="Tinos" w:cs="Tinos"/>
              </w:rPr>
              <w:t xml:space="preserve">организации (по месту допуска к ГИА-9)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БУ «Республиканский центр новых образовательных технологий»  Минобразования Чувашии, г. Чебоксары, Школьный проезд, 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  <w:p>
            <w:pPr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</w:rPr>
              <w:t xml:space="preserve">д. 10</w:t>
            </w:r>
            <w:r>
              <w:rPr>
                <w:rFonts w:ascii="Tinos" w:hAnsi="Tinos" w:eastAsia="Tinos" w:cs="Tinos"/>
                <w:bCs/>
              </w:rPr>
              <w:t xml:space="preserve"> А</w:t>
            </w:r>
            <w:r>
              <w:rPr>
                <w:rFonts w:ascii="Tinos" w:hAnsi="Tinos" w:eastAsia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</w:tr>
    </w:tbl>
    <w:p>
      <w:pPr>
        <w:jc w:val="center"/>
        <w:tabs>
          <w:tab w:val="left" w:pos="3957" w:leader="none"/>
        </w:tabs>
        <w:rPr>
          <w:rFonts w:ascii="Tinos" w:hAnsi="Tinos" w:cs="Tinos"/>
          <w:color w:val="ff0000"/>
        </w:rPr>
      </w:pPr>
      <w:r>
        <w:rPr>
          <w:rFonts w:ascii="Tinos" w:hAnsi="Tinos" w:eastAsia="Tinos" w:cs="Tinos"/>
          <w:color w:val="ff0000"/>
        </w:rPr>
      </w:r>
      <w:r>
        <w:rPr>
          <w:rFonts w:ascii="Tinos" w:hAnsi="Tinos" w:eastAsia="Tinos" w:cs="Tinos"/>
          <w:color w:val="ff0000"/>
        </w:rPr>
      </w:r>
      <w:r>
        <w:rPr>
          <w:rFonts w:ascii="Tinos" w:hAnsi="Tinos" w:cs="Tinos"/>
          <w:color w:val="ff0000"/>
        </w:rPr>
      </w:r>
    </w:p>
    <w:sectPr>
      <w:footnotePr/>
      <w:endnotePr/>
      <w:type w:val="nextPage"/>
      <w:pgSz w:w="16840" w:h="11907" w:orient="landscape"/>
      <w:pgMar w:top="1135" w:right="851" w:bottom="993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choolBook">
    <w:panose1 w:val="02000603000000000000"/>
  </w:font>
  <w:font w:name="Calibri">
    <w:panose1 w:val="020F0502020204030204"/>
  </w:font>
  <w:font w:name="Cambria">
    <w:panose1 w:val="02040503050406030204"/>
  </w:font>
  <w:font w:name="Verdana">
    <w:panose1 w:val="020B0604030504040204"/>
  </w:font>
  <w:font w:name="Times New Roman">
    <w:panose1 w:val="02020603050405020304"/>
  </w:font>
  <w:font w:name="Tahoma">
    <w:panose1 w:val="020B0604030504040204"/>
  </w:font>
  <w:font w:name="TimesET">
    <w:panose1 w:val="02000603000000000000"/>
  </w:font>
  <w:font w:name="TimesEC">
    <w:panose1 w:val="02000603000000000000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69"/>
      </w:rPr>
      <w:framePr w:wrap="around" w:vAnchor="text" w:hAnchor="margin" w:xAlign="center" w:y="1"/>
    </w:pPr>
    <w:r>
      <w:rPr>
        <w:rStyle w:val="969"/>
      </w:rPr>
    </w:r>
    <w:r>
      <w:rPr>
        <w:rStyle w:val="969"/>
      </w:rPr>
    </w:r>
  </w:p>
  <w:p>
    <w:pPr>
      <w:pStyle w:val="96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69"/>
      </w:rPr>
      <w:framePr w:wrap="around" w:vAnchor="text" w:hAnchor="margin" w:xAlign="center" w:y="1"/>
    </w:pPr>
    <w:r>
      <w:rPr>
        <w:rStyle w:val="969"/>
      </w:rPr>
      <w:fldChar w:fldCharType="begin"/>
    </w:r>
    <w:r>
      <w:rPr>
        <w:rStyle w:val="969"/>
      </w:rPr>
      <w:instrText xml:space="preserve">PAGE  </w:instrText>
    </w:r>
    <w:r>
      <w:rPr>
        <w:rStyle w:val="969"/>
      </w:rPr>
      <w:fldChar w:fldCharType="end"/>
    </w:r>
    <w:r>
      <w:rPr>
        <w:rStyle w:val="969"/>
      </w:rPr>
    </w:r>
    <w:r>
      <w:rPr>
        <w:rStyle w:val="969"/>
      </w:rPr>
    </w:r>
  </w:p>
  <w:p>
    <w:pPr>
      <w:pStyle w:val="960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right"/>
    </w:pPr>
    <w:r/>
    <w:r/>
  </w:p>
  <w:p>
    <w:pPr>
      <w:pStyle w:val="9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1593617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8"/>
      <w:jc w:val="right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b/>
      </w:rPr>
    </w:lvl>
    <w:lvl w:ilvl="1">
      <w:start w:val="1"/>
      <w:numFmt w:val="decimal"/>
      <w:pStyle w:val="984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  <w:rPr>
        <w:rFonts w:hint="default" w:cs="Times New Roman"/>
        <w:b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pStyle w:val="987"/>
      <w:isLgl w:val="false"/>
      <w:suff w:val="tab"/>
      <w:lvlText w:val=""/>
      <w:lvlJc w:val="left"/>
      <w:pPr>
        <w:ind w:left="1802" w:hanging="360"/>
      </w:pPr>
      <w:rPr>
        <w:rFonts w:hint="default" w:ascii="Symbol" w:hAnsi="Symbol"/>
        <w:i w:val="0"/>
        <w:color w:val="auto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7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3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9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1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pStyle w:val="983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7"/>
    <w:lvlOverride w:ilvl="0">
      <w:lvl w:ilvl="0">
        <w:start w:val="1"/>
        <w:numFmt w:val="decimal"/>
        <w:pStyle w:val="983"/>
        <w:isLgl w:val="false"/>
        <w:suff w:val="tab"/>
        <w:lvlText w:val="%1."/>
        <w:lvlJc w:val="left"/>
        <w:pPr>
          <w:ind w:left="360" w:hanging="360"/>
          <w:tabs>
            <w:tab w:val="num" w:pos="360" w:leader="none"/>
          </w:tabs>
        </w:pPr>
        <w:rPr>
          <w:rFonts w:cs="Times New Roman"/>
          <w:b/>
        </w:rPr>
      </w:lvl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7"/>
  </w:num>
  <w:num w:numId="8">
    <w:abstractNumId w:val="0"/>
  </w:num>
  <w:num w:numId="9">
    <w:abstractNumId w:val="12"/>
  </w:num>
  <w:num w:numId="10">
    <w:abstractNumId w:val="13"/>
  </w:num>
  <w:num w:numId="11">
    <w:abstractNumId w:val="14"/>
  </w:num>
  <w:num w:numId="12">
    <w:abstractNumId w:val="8"/>
  </w:num>
  <w:num w:numId="13">
    <w:abstractNumId w:val="1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1 Char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761">
    <w:name w:val="Heading 2 Char"/>
    <w:basedOn w:val="918"/>
    <w:link w:val="910"/>
    <w:uiPriority w:val="9"/>
    <w:rPr>
      <w:rFonts w:ascii="Arial" w:hAnsi="Arial" w:eastAsia="Arial" w:cs="Arial"/>
      <w:sz w:val="34"/>
    </w:rPr>
  </w:style>
  <w:style w:type="character" w:styleId="762">
    <w:name w:val="Heading 3 Char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763">
    <w:name w:val="Heading 4 Char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764">
    <w:name w:val="Heading 5 Char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765">
    <w:name w:val="Heading 6 Char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766">
    <w:name w:val="Heading 7 Char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8 Char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768">
    <w:name w:val="Heading 9 Char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character" w:styleId="769">
    <w:name w:val="Title Char"/>
    <w:basedOn w:val="918"/>
    <w:link w:val="1001"/>
    <w:uiPriority w:val="10"/>
    <w:rPr>
      <w:sz w:val="48"/>
      <w:szCs w:val="48"/>
    </w:rPr>
  </w:style>
  <w:style w:type="paragraph" w:styleId="770">
    <w:name w:val="Subtitle"/>
    <w:basedOn w:val="908"/>
    <w:next w:val="908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basedOn w:val="918"/>
    <w:link w:val="770"/>
    <w:uiPriority w:val="11"/>
    <w:rPr>
      <w:sz w:val="24"/>
      <w:szCs w:val="24"/>
    </w:rPr>
  </w:style>
  <w:style w:type="paragraph" w:styleId="772">
    <w:name w:val="Quote"/>
    <w:basedOn w:val="908"/>
    <w:next w:val="908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08"/>
    <w:next w:val="908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character" w:styleId="776">
    <w:name w:val="Header Char"/>
    <w:basedOn w:val="918"/>
    <w:link w:val="958"/>
    <w:uiPriority w:val="99"/>
  </w:style>
  <w:style w:type="character" w:styleId="777">
    <w:name w:val="Footer Char"/>
    <w:basedOn w:val="918"/>
    <w:link w:val="960"/>
    <w:uiPriority w:val="99"/>
  </w:style>
  <w:style w:type="paragraph" w:styleId="778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960"/>
    <w:uiPriority w:val="99"/>
  </w:style>
  <w:style w:type="table" w:styleId="780">
    <w:name w:val="Table Grid Light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9">
    <w:name w:val="List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0">
    <w:name w:val="List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1">
    <w:name w:val="List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2">
    <w:name w:val="List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3">
    <w:name w:val="List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4">
    <w:name w:val="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 &amp; 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Bordered &amp; 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Bordered &amp; 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Bordered &amp; 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Bordered &amp; 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Bordered &amp; 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5">
    <w:name w:val="Footnote Text Char"/>
    <w:link w:val="965"/>
    <w:uiPriority w:val="99"/>
    <w:rPr>
      <w:sz w:val="18"/>
    </w:rPr>
  </w:style>
  <w:style w:type="character" w:styleId="906">
    <w:name w:val="Endnote Text Char"/>
    <w:link w:val="994"/>
    <w:uiPriority w:val="99"/>
    <w:rPr>
      <w:sz w:val="20"/>
    </w:rPr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  <w:rPr>
      <w:sz w:val="24"/>
      <w:szCs w:val="24"/>
    </w:rPr>
  </w:style>
  <w:style w:type="paragraph" w:styleId="909">
    <w:name w:val="Heading 1"/>
    <w:basedOn w:val="908"/>
    <w:next w:val="908"/>
    <w:link w:val="921"/>
    <w:uiPriority w:val="99"/>
    <w:qFormat/>
    <w:pPr>
      <w:jc w:val="both"/>
      <w:keepNext/>
      <w:outlineLvl w:val="0"/>
    </w:pPr>
    <w:rPr>
      <w:b/>
      <w:bCs/>
      <w:sz w:val="20"/>
    </w:rPr>
  </w:style>
  <w:style w:type="paragraph" w:styleId="910">
    <w:name w:val="Heading 2"/>
    <w:basedOn w:val="908"/>
    <w:next w:val="908"/>
    <w:link w:val="922"/>
    <w:qFormat/>
    <w:pPr>
      <w:keepNext/>
      <w:outlineLvl w:val="1"/>
    </w:pPr>
    <w:rPr>
      <w:b/>
      <w:bCs/>
      <w:sz w:val="20"/>
    </w:rPr>
  </w:style>
  <w:style w:type="paragraph" w:styleId="911">
    <w:name w:val="Heading 3"/>
    <w:basedOn w:val="908"/>
    <w:next w:val="908"/>
    <w:link w:val="923"/>
    <w:qFormat/>
    <w:pPr>
      <w:jc w:val="center"/>
      <w:keepNext/>
      <w:outlineLvl w:val="2"/>
    </w:pPr>
    <w:rPr>
      <w:b/>
      <w:bCs/>
      <w:sz w:val="20"/>
    </w:rPr>
  </w:style>
  <w:style w:type="paragraph" w:styleId="912">
    <w:name w:val="Heading 4"/>
    <w:basedOn w:val="908"/>
    <w:next w:val="908"/>
    <w:link w:val="924"/>
    <w:qFormat/>
    <w:pPr>
      <w:jc w:val="center"/>
      <w:keepNext/>
      <w:outlineLvl w:val="3"/>
    </w:pPr>
    <w:rPr>
      <w:b/>
      <w:bCs/>
    </w:rPr>
  </w:style>
  <w:style w:type="paragraph" w:styleId="913">
    <w:name w:val="Heading 5"/>
    <w:basedOn w:val="908"/>
    <w:next w:val="908"/>
    <w:link w:val="925"/>
    <w:qFormat/>
    <w:pPr>
      <w:jc w:val="center"/>
      <w:keepNext/>
      <w:outlineLvl w:val="4"/>
    </w:pPr>
    <w:rPr>
      <w:sz w:val="36"/>
      <w:szCs w:val="20"/>
    </w:rPr>
  </w:style>
  <w:style w:type="paragraph" w:styleId="914">
    <w:name w:val="Heading 6"/>
    <w:basedOn w:val="908"/>
    <w:next w:val="908"/>
    <w:link w:val="926"/>
    <w:qFormat/>
    <w:pPr>
      <w:keepNext/>
      <w:outlineLvl w:val="5"/>
    </w:pPr>
    <w:rPr>
      <w:szCs w:val="20"/>
    </w:rPr>
  </w:style>
  <w:style w:type="paragraph" w:styleId="915">
    <w:name w:val="Heading 7"/>
    <w:basedOn w:val="909"/>
    <w:next w:val="908"/>
    <w:link w:val="927"/>
    <w:qFormat/>
    <w:pPr>
      <w:ind w:firstLine="720"/>
      <w:jc w:val="left"/>
      <w:keepLines/>
      <w:keepNext w:val="0"/>
      <w:spacing w:before="240" w:after="200" w:line="288" w:lineRule="auto"/>
      <w:tabs>
        <w:tab w:val="num" w:pos="360" w:leader="none"/>
      </w:tabs>
      <w:outlineLvl w:val="6"/>
    </w:pPr>
    <w:rPr>
      <w:b w:val="0"/>
      <w:bCs w:val="0"/>
      <w:sz w:val="24"/>
      <w:lang w:eastAsia="en-US"/>
    </w:rPr>
  </w:style>
  <w:style w:type="paragraph" w:styleId="916">
    <w:name w:val="Heading 8"/>
    <w:basedOn w:val="908"/>
    <w:next w:val="908"/>
    <w:link w:val="928"/>
    <w:qFormat/>
    <w:pPr>
      <w:ind w:right="-65"/>
      <w:jc w:val="center"/>
      <w:keepNext/>
      <w:tabs>
        <w:tab w:val="left" w:pos="2585" w:leader="none"/>
      </w:tabs>
      <w:outlineLvl w:val="7"/>
    </w:pPr>
    <w:rPr>
      <w:b/>
      <w:szCs w:val="20"/>
    </w:rPr>
  </w:style>
  <w:style w:type="paragraph" w:styleId="917">
    <w:name w:val="Heading 9"/>
    <w:basedOn w:val="909"/>
    <w:next w:val="908"/>
    <w:link w:val="929"/>
    <w:uiPriority w:val="99"/>
    <w:qFormat/>
    <w:pPr>
      <w:ind w:firstLine="720"/>
      <w:jc w:val="left"/>
      <w:keepLines/>
      <w:spacing w:before="240" w:after="120" w:line="288" w:lineRule="auto"/>
      <w:tabs>
        <w:tab w:val="num" w:pos="360" w:leader="none"/>
      </w:tabs>
      <w:outlineLvl w:val="8"/>
    </w:pPr>
    <w:rPr>
      <w:b w:val="0"/>
      <w:bCs w:val="0"/>
      <w:sz w:val="24"/>
      <w:lang w:eastAsia="en-US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character" w:styleId="921" w:customStyle="1">
    <w:name w:val="Заголовок 1 Знак"/>
    <w:basedOn w:val="918"/>
    <w:link w:val="909"/>
    <w:uiPriority w:val="99"/>
    <w:rPr>
      <w:b/>
      <w:bCs/>
      <w:szCs w:val="24"/>
    </w:rPr>
  </w:style>
  <w:style w:type="character" w:styleId="922" w:customStyle="1">
    <w:name w:val="Заголовок 2 Знак"/>
    <w:basedOn w:val="918"/>
    <w:link w:val="910"/>
    <w:rPr>
      <w:b/>
      <w:bCs/>
      <w:szCs w:val="24"/>
    </w:rPr>
  </w:style>
  <w:style w:type="character" w:styleId="923" w:customStyle="1">
    <w:name w:val="Заголовок 3 Знак"/>
    <w:basedOn w:val="918"/>
    <w:link w:val="911"/>
    <w:rPr>
      <w:b/>
      <w:bCs/>
      <w:szCs w:val="24"/>
    </w:rPr>
  </w:style>
  <w:style w:type="character" w:styleId="924" w:customStyle="1">
    <w:name w:val="Заголовок 4 Знак"/>
    <w:basedOn w:val="918"/>
    <w:link w:val="912"/>
    <w:rPr>
      <w:b/>
      <w:bCs/>
      <w:sz w:val="24"/>
      <w:szCs w:val="24"/>
    </w:rPr>
  </w:style>
  <w:style w:type="character" w:styleId="925" w:customStyle="1">
    <w:name w:val="Заголовок 5 Знак"/>
    <w:basedOn w:val="918"/>
    <w:link w:val="913"/>
    <w:rPr>
      <w:sz w:val="36"/>
    </w:rPr>
  </w:style>
  <w:style w:type="character" w:styleId="926" w:customStyle="1">
    <w:name w:val="Заголовок 6 Знак"/>
    <w:basedOn w:val="918"/>
    <w:link w:val="914"/>
    <w:rPr>
      <w:sz w:val="24"/>
    </w:rPr>
  </w:style>
  <w:style w:type="character" w:styleId="927" w:customStyle="1">
    <w:name w:val="Заголовок 7 Знак"/>
    <w:basedOn w:val="918"/>
    <w:link w:val="915"/>
    <w:rPr>
      <w:sz w:val="24"/>
      <w:szCs w:val="24"/>
      <w:lang w:eastAsia="en-US"/>
    </w:rPr>
  </w:style>
  <w:style w:type="character" w:styleId="928" w:customStyle="1">
    <w:name w:val="Заголовок 8 Знак"/>
    <w:basedOn w:val="918"/>
    <w:link w:val="916"/>
    <w:rPr>
      <w:b/>
      <w:sz w:val="24"/>
    </w:rPr>
  </w:style>
  <w:style w:type="character" w:styleId="929" w:customStyle="1">
    <w:name w:val="Заголовок 9 Знак"/>
    <w:basedOn w:val="918"/>
    <w:link w:val="917"/>
    <w:uiPriority w:val="99"/>
    <w:rPr>
      <w:sz w:val="24"/>
      <w:szCs w:val="24"/>
      <w:lang w:eastAsia="en-US"/>
    </w:rPr>
  </w:style>
  <w:style w:type="paragraph" w:styleId="930" w:customStyle="1">
    <w:name w:val="заголовок 2"/>
    <w:basedOn w:val="908"/>
    <w:next w:val="908"/>
    <w:pPr>
      <w:jc w:val="both"/>
      <w:keepNext/>
    </w:pPr>
    <w:rPr>
      <w:rFonts w:ascii="TimesEC" w:hAnsi="TimesEC"/>
      <w:szCs w:val="20"/>
    </w:rPr>
  </w:style>
  <w:style w:type="paragraph" w:styleId="931">
    <w:name w:val="Body Text"/>
    <w:basedOn w:val="908"/>
    <w:link w:val="932"/>
    <w:pPr>
      <w:jc w:val="both"/>
    </w:pPr>
    <w:rPr>
      <w:b/>
      <w:bCs/>
      <w:sz w:val="20"/>
    </w:rPr>
  </w:style>
  <w:style w:type="character" w:styleId="932" w:customStyle="1">
    <w:name w:val="Основной текст Знак"/>
    <w:basedOn w:val="918"/>
    <w:link w:val="931"/>
    <w:rPr>
      <w:b/>
      <w:bCs/>
      <w:szCs w:val="24"/>
    </w:rPr>
  </w:style>
  <w:style w:type="paragraph" w:styleId="933" w:customStyle="1">
    <w:name w:val="заголовок 1"/>
    <w:basedOn w:val="908"/>
    <w:next w:val="908"/>
    <w:pPr>
      <w:jc w:val="center"/>
      <w:keepNext/>
    </w:pPr>
    <w:rPr>
      <w:rFonts w:ascii="TimesET" w:hAnsi="TimesET"/>
      <w:szCs w:val="20"/>
    </w:rPr>
  </w:style>
  <w:style w:type="paragraph" w:styleId="934">
    <w:name w:val="Body Text 2"/>
    <w:basedOn w:val="908"/>
    <w:link w:val="935"/>
    <w:pPr>
      <w:jc w:val="both"/>
    </w:pPr>
    <w:rPr>
      <w:sz w:val="20"/>
    </w:rPr>
  </w:style>
  <w:style w:type="character" w:styleId="935" w:customStyle="1">
    <w:name w:val="Основной текст 2 Знак"/>
    <w:basedOn w:val="918"/>
    <w:link w:val="934"/>
    <w:rPr>
      <w:szCs w:val="24"/>
    </w:rPr>
  </w:style>
  <w:style w:type="paragraph" w:styleId="936">
    <w:name w:val="Body Text 3"/>
    <w:basedOn w:val="908"/>
    <w:link w:val="937"/>
    <w:pPr>
      <w:jc w:val="both"/>
    </w:pPr>
    <w:rPr>
      <w:sz w:val="18"/>
    </w:rPr>
  </w:style>
  <w:style w:type="character" w:styleId="937" w:customStyle="1">
    <w:name w:val="Основной текст 3 Знак"/>
    <w:basedOn w:val="918"/>
    <w:link w:val="936"/>
    <w:rPr>
      <w:sz w:val="18"/>
      <w:szCs w:val="24"/>
    </w:rPr>
  </w:style>
  <w:style w:type="paragraph" w:styleId="938">
    <w:name w:val="Block Text"/>
    <w:basedOn w:val="908"/>
    <w:pPr>
      <w:ind w:left="-108" w:right="-108"/>
      <w:jc w:val="both"/>
    </w:pPr>
    <w:rPr>
      <w:sz w:val="18"/>
    </w:rPr>
  </w:style>
  <w:style w:type="paragraph" w:styleId="939">
    <w:name w:val="Balloon Text"/>
    <w:basedOn w:val="908"/>
    <w:link w:val="940"/>
    <w:semiHidden/>
    <w:rPr>
      <w:rFonts w:ascii="Tahoma" w:hAnsi="Tahoma" w:cs="Tahoma"/>
      <w:sz w:val="16"/>
      <w:szCs w:val="16"/>
    </w:rPr>
  </w:style>
  <w:style w:type="character" w:styleId="940" w:customStyle="1">
    <w:name w:val="Текст выноски Знак"/>
    <w:basedOn w:val="918"/>
    <w:link w:val="939"/>
    <w:semiHidden/>
    <w:rPr>
      <w:rFonts w:ascii="Tahoma" w:hAnsi="Tahoma" w:cs="Tahoma"/>
      <w:sz w:val="16"/>
      <w:szCs w:val="16"/>
    </w:rPr>
  </w:style>
  <w:style w:type="character" w:styleId="941">
    <w:name w:val="Hyperlink"/>
    <w:basedOn w:val="918"/>
    <w:rPr>
      <w:color w:val="0000ff"/>
      <w:u w:val="single"/>
    </w:rPr>
  </w:style>
  <w:style w:type="paragraph" w:styleId="942">
    <w:name w:val="Body Text Indent 3"/>
    <w:basedOn w:val="908"/>
    <w:link w:val="943"/>
    <w:uiPriority w:val="99"/>
    <w:pPr>
      <w:ind w:left="426" w:firstLine="425"/>
      <w:tabs>
        <w:tab w:val="left" w:pos="993" w:leader="none"/>
        <w:tab w:val="num" w:pos="1440" w:leader="none"/>
      </w:tabs>
    </w:pPr>
    <w:rPr>
      <w:sz w:val="20"/>
      <w:szCs w:val="20"/>
    </w:rPr>
  </w:style>
  <w:style w:type="character" w:styleId="943" w:customStyle="1">
    <w:name w:val="Основной текст с отступом 3 Знак"/>
    <w:basedOn w:val="918"/>
    <w:link w:val="942"/>
    <w:uiPriority w:val="99"/>
  </w:style>
  <w:style w:type="paragraph" w:styleId="944">
    <w:name w:val="Document Map"/>
    <w:basedOn w:val="908"/>
    <w:link w:val="945"/>
    <w:uiPriority w:val="99"/>
    <w:rPr>
      <w:rFonts w:ascii="Tahoma" w:hAnsi="Tahoma" w:cs="Tahoma"/>
      <w:sz w:val="16"/>
      <w:szCs w:val="16"/>
    </w:rPr>
  </w:style>
  <w:style w:type="character" w:styleId="945" w:customStyle="1">
    <w:name w:val="Схема документа Знак"/>
    <w:basedOn w:val="918"/>
    <w:link w:val="944"/>
    <w:uiPriority w:val="99"/>
    <w:rPr>
      <w:rFonts w:ascii="Tahoma" w:hAnsi="Tahoma" w:cs="Tahoma"/>
      <w:sz w:val="16"/>
      <w:szCs w:val="16"/>
    </w:rPr>
  </w:style>
  <w:style w:type="character" w:styleId="946">
    <w:name w:val="FollowedHyperlink"/>
    <w:basedOn w:val="918"/>
    <w:uiPriority w:val="99"/>
    <w:rPr>
      <w:rFonts w:cs="Times New Roman"/>
      <w:color w:val="800080"/>
      <w:u w:val="single"/>
    </w:rPr>
  </w:style>
  <w:style w:type="paragraph" w:styleId="947">
    <w:name w:val="Body Text Indent"/>
    <w:basedOn w:val="908"/>
    <w:link w:val="948"/>
    <w:pPr>
      <w:ind w:left="283"/>
      <w:spacing w:after="120"/>
    </w:pPr>
  </w:style>
  <w:style w:type="character" w:styleId="948" w:customStyle="1">
    <w:name w:val="Основной текст с отступом Знак"/>
    <w:basedOn w:val="918"/>
    <w:link w:val="947"/>
    <w:rPr>
      <w:sz w:val="24"/>
      <w:szCs w:val="24"/>
    </w:rPr>
  </w:style>
  <w:style w:type="paragraph" w:styleId="949">
    <w:name w:val="Body Text Indent 2"/>
    <w:basedOn w:val="908"/>
    <w:link w:val="950"/>
    <w:pPr>
      <w:ind w:left="283"/>
      <w:spacing w:after="120" w:line="480" w:lineRule="auto"/>
    </w:pPr>
  </w:style>
  <w:style w:type="character" w:styleId="950" w:customStyle="1">
    <w:name w:val="Основной текст с отступом 2 Знак"/>
    <w:basedOn w:val="918"/>
    <w:link w:val="949"/>
    <w:rPr>
      <w:sz w:val="24"/>
      <w:szCs w:val="24"/>
    </w:rPr>
  </w:style>
  <w:style w:type="paragraph" w:styleId="951" w:customStyle="1">
    <w:name w:val="Confirmation"/>
    <w:uiPriority w:val="99"/>
    <w:pPr>
      <w:jc w:val="center"/>
      <w:keepNext/>
      <w:spacing w:before="120" w:after="120"/>
    </w:pPr>
    <w:rPr>
      <w:b/>
      <w:caps/>
      <w:sz w:val="28"/>
      <w:szCs w:val="28"/>
      <w:lang w:eastAsia="en-US"/>
    </w:rPr>
  </w:style>
  <w:style w:type="paragraph" w:styleId="952" w:customStyle="1">
    <w:name w:val="Confirmation text"/>
    <w:basedOn w:val="908"/>
    <w:uiPriority w:val="99"/>
    <w:pPr>
      <w:jc w:val="center"/>
      <w:keepLines/>
      <w:spacing w:before="60" w:after="60" w:line="288" w:lineRule="auto"/>
      <w:widowControl w:val="off"/>
    </w:pPr>
    <w:rPr>
      <w:lang w:eastAsia="en-US"/>
    </w:rPr>
  </w:style>
  <w:style w:type="character" w:styleId="953">
    <w:name w:val="annotation reference"/>
    <w:basedOn w:val="918"/>
    <w:uiPriority w:val="99"/>
    <w:rPr>
      <w:rFonts w:cs="Times New Roman"/>
      <w:sz w:val="16"/>
      <w:szCs w:val="16"/>
    </w:rPr>
  </w:style>
  <w:style w:type="paragraph" w:styleId="954">
    <w:name w:val="annotation text"/>
    <w:basedOn w:val="908"/>
    <w:link w:val="955"/>
    <w:uiPriority w:val="99"/>
    <w:rPr>
      <w:sz w:val="20"/>
      <w:szCs w:val="20"/>
    </w:rPr>
  </w:style>
  <w:style w:type="character" w:styleId="955" w:customStyle="1">
    <w:name w:val="Текст примечания Знак"/>
    <w:basedOn w:val="918"/>
    <w:link w:val="954"/>
    <w:uiPriority w:val="99"/>
  </w:style>
  <w:style w:type="paragraph" w:styleId="956">
    <w:name w:val="annotation subject"/>
    <w:basedOn w:val="954"/>
    <w:next w:val="954"/>
    <w:link w:val="957"/>
    <w:uiPriority w:val="99"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rPr>
      <w:b/>
      <w:bCs/>
    </w:rPr>
  </w:style>
  <w:style w:type="paragraph" w:styleId="958">
    <w:name w:val="Header"/>
    <w:basedOn w:val="908"/>
    <w:link w:val="959"/>
    <w:uiPriority w:val="99"/>
    <w:pPr>
      <w:tabs>
        <w:tab w:val="center" w:pos="4677" w:leader="none"/>
        <w:tab w:val="right" w:pos="9355" w:leader="none"/>
      </w:tabs>
    </w:pPr>
  </w:style>
  <w:style w:type="character" w:styleId="959" w:customStyle="1">
    <w:name w:val="Верхний колонтитул Знак"/>
    <w:basedOn w:val="918"/>
    <w:link w:val="958"/>
    <w:uiPriority w:val="99"/>
    <w:rPr>
      <w:sz w:val="24"/>
      <w:szCs w:val="24"/>
    </w:rPr>
  </w:style>
  <w:style w:type="paragraph" w:styleId="960">
    <w:name w:val="Footer"/>
    <w:basedOn w:val="908"/>
    <w:link w:val="961"/>
    <w:pPr>
      <w:tabs>
        <w:tab w:val="center" w:pos="4677" w:leader="none"/>
        <w:tab w:val="right" w:pos="9355" w:leader="none"/>
      </w:tabs>
    </w:pPr>
  </w:style>
  <w:style w:type="character" w:styleId="961" w:customStyle="1">
    <w:name w:val="Нижний колонтитул Знак"/>
    <w:basedOn w:val="918"/>
    <w:link w:val="960"/>
    <w:rPr>
      <w:sz w:val="24"/>
      <w:szCs w:val="24"/>
    </w:rPr>
  </w:style>
  <w:style w:type="paragraph" w:styleId="962" w:customStyle="1">
    <w:name w:val="Знак Знак Знак1 Знак1 Знак Знак Знак Знак Знак Знак"/>
    <w:basedOn w:val="908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63">
    <w:name w:val="List Paragraph"/>
    <w:basedOn w:val="908"/>
    <w:qFormat/>
    <w:pPr>
      <w:ind w:left="708"/>
    </w:pPr>
  </w:style>
  <w:style w:type="character" w:styleId="964" w:customStyle="1">
    <w:name w:val="Знак Знак1"/>
    <w:basedOn w:val="918"/>
    <w:uiPriority w:val="99"/>
    <w:rPr>
      <w:rFonts w:cs="Times New Roman"/>
      <w:sz w:val="24"/>
      <w:szCs w:val="24"/>
      <w:lang w:val="ru-RU" w:eastAsia="ru-RU" w:bidi="ar-SA"/>
    </w:rPr>
  </w:style>
  <w:style w:type="paragraph" w:styleId="965">
    <w:name w:val="footnote text"/>
    <w:basedOn w:val="908"/>
    <w:link w:val="966"/>
    <w:uiPriority w:val="99"/>
    <w:rPr>
      <w:sz w:val="20"/>
      <w:szCs w:val="20"/>
    </w:rPr>
  </w:style>
  <w:style w:type="character" w:styleId="966" w:customStyle="1">
    <w:name w:val="Текст сноски Знак"/>
    <w:basedOn w:val="918"/>
    <w:link w:val="965"/>
    <w:uiPriority w:val="99"/>
  </w:style>
  <w:style w:type="character" w:styleId="967" w:customStyle="1">
    <w:name w:val="Знак Знак"/>
    <w:basedOn w:val="918"/>
    <w:uiPriority w:val="99"/>
    <w:rPr>
      <w:rFonts w:cs="Times New Roman"/>
      <w:lang w:val="ru-RU" w:eastAsia="ru-RU" w:bidi="ar-SA"/>
    </w:rPr>
  </w:style>
  <w:style w:type="character" w:styleId="968">
    <w:name w:val="footnote reference"/>
    <w:basedOn w:val="918"/>
    <w:rPr>
      <w:rFonts w:cs="Times New Roman"/>
      <w:vertAlign w:val="superscript"/>
    </w:rPr>
  </w:style>
  <w:style w:type="character" w:styleId="969">
    <w:name w:val="page number"/>
    <w:basedOn w:val="918"/>
    <w:rPr>
      <w:rFonts w:cs="Times New Roman"/>
    </w:rPr>
  </w:style>
  <w:style w:type="paragraph" w:styleId="970" w:customStyle="1">
    <w:name w:val="Table of Contents"/>
    <w:next w:val="908"/>
    <w:uiPriority w:val="99"/>
    <w:pPr>
      <w:jc w:val="center"/>
      <w:keepLines/>
      <w:keepNext/>
      <w:pageBreakBefore/>
      <w:spacing w:before="360" w:after="240" w:line="288" w:lineRule="auto"/>
    </w:pPr>
    <w:rPr>
      <w:b/>
      <w:caps/>
      <w:sz w:val="28"/>
      <w:szCs w:val="28"/>
      <w:lang w:eastAsia="en-US"/>
    </w:rPr>
  </w:style>
  <w:style w:type="character" w:styleId="971" w:customStyle="1">
    <w:name w:val="Знак Знак2"/>
    <w:basedOn w:val="918"/>
    <w:uiPriority w:val="99"/>
    <w:rPr>
      <w:rFonts w:cs="Times New Roman"/>
      <w:sz w:val="24"/>
      <w:szCs w:val="24"/>
    </w:rPr>
  </w:style>
  <w:style w:type="paragraph" w:styleId="972">
    <w:name w:val="Normal (Web)"/>
    <w:basedOn w:val="908"/>
    <w:pPr>
      <w:spacing w:before="100" w:beforeAutospacing="1" w:after="100" w:afterAutospacing="1"/>
    </w:pPr>
  </w:style>
  <w:style w:type="paragraph" w:styleId="973">
    <w:name w:val="TOC Heading"/>
    <w:basedOn w:val="909"/>
    <w:next w:val="908"/>
    <w:uiPriority w:val="99"/>
    <w:qFormat/>
    <w:pPr>
      <w:jc w:val="left"/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974">
    <w:name w:val="toc 1"/>
    <w:basedOn w:val="908"/>
    <w:next w:val="908"/>
    <w:uiPriority w:val="39"/>
    <w:pPr>
      <w:ind w:left="709" w:hanging="709"/>
      <w:tabs>
        <w:tab w:val="left" w:pos="0" w:leader="none"/>
        <w:tab w:val="right" w:pos="9072" w:leader="none"/>
      </w:tabs>
    </w:pPr>
    <w:rPr>
      <w:sz w:val="28"/>
    </w:rPr>
  </w:style>
  <w:style w:type="paragraph" w:styleId="975">
    <w:name w:val="toc 2"/>
    <w:basedOn w:val="908"/>
    <w:next w:val="908"/>
    <w:uiPriority w:val="99"/>
    <w:pPr>
      <w:ind w:left="220"/>
      <w:spacing w:after="100" w:line="276" w:lineRule="auto"/>
    </w:pPr>
    <w:rPr>
      <w:rFonts w:ascii="Calibri" w:hAnsi="Calibri"/>
      <w:sz w:val="22"/>
      <w:szCs w:val="22"/>
    </w:rPr>
  </w:style>
  <w:style w:type="paragraph" w:styleId="976">
    <w:name w:val="toc 3"/>
    <w:basedOn w:val="908"/>
    <w:next w:val="908"/>
    <w:uiPriority w:val="99"/>
    <w:pPr>
      <w:ind w:left="440"/>
      <w:spacing w:after="100" w:line="276" w:lineRule="auto"/>
    </w:pPr>
    <w:rPr>
      <w:rFonts w:ascii="Calibri" w:hAnsi="Calibri"/>
      <w:sz w:val="22"/>
      <w:szCs w:val="22"/>
    </w:rPr>
  </w:style>
  <w:style w:type="paragraph" w:styleId="977">
    <w:name w:val="toc 4"/>
    <w:basedOn w:val="908"/>
    <w:next w:val="908"/>
    <w:uiPriority w:val="99"/>
    <w:pPr>
      <w:ind w:left="660"/>
      <w:spacing w:after="100" w:line="276" w:lineRule="auto"/>
    </w:pPr>
    <w:rPr>
      <w:rFonts w:ascii="Calibri" w:hAnsi="Calibri"/>
      <w:sz w:val="22"/>
      <w:szCs w:val="22"/>
    </w:rPr>
  </w:style>
  <w:style w:type="paragraph" w:styleId="978">
    <w:name w:val="toc 5"/>
    <w:basedOn w:val="908"/>
    <w:next w:val="908"/>
    <w:uiPriority w:val="99"/>
    <w:pPr>
      <w:ind w:left="880"/>
      <w:spacing w:after="100" w:line="276" w:lineRule="auto"/>
    </w:pPr>
    <w:rPr>
      <w:rFonts w:ascii="Calibri" w:hAnsi="Calibri"/>
      <w:sz w:val="22"/>
      <w:szCs w:val="22"/>
    </w:rPr>
  </w:style>
  <w:style w:type="paragraph" w:styleId="979">
    <w:name w:val="toc 6"/>
    <w:basedOn w:val="908"/>
    <w:next w:val="908"/>
    <w:uiPriority w:val="99"/>
    <w:pPr>
      <w:ind w:left="1100"/>
      <w:spacing w:after="100" w:line="276" w:lineRule="auto"/>
    </w:pPr>
    <w:rPr>
      <w:rFonts w:ascii="Calibri" w:hAnsi="Calibri"/>
      <w:sz w:val="22"/>
      <w:szCs w:val="22"/>
    </w:rPr>
  </w:style>
  <w:style w:type="paragraph" w:styleId="980">
    <w:name w:val="toc 7"/>
    <w:basedOn w:val="908"/>
    <w:next w:val="908"/>
    <w:uiPriority w:val="99"/>
    <w:pPr>
      <w:ind w:left="1320"/>
      <w:spacing w:after="100" w:line="276" w:lineRule="auto"/>
    </w:pPr>
    <w:rPr>
      <w:rFonts w:ascii="Calibri" w:hAnsi="Calibri"/>
      <w:sz w:val="22"/>
      <w:szCs w:val="22"/>
    </w:rPr>
  </w:style>
  <w:style w:type="paragraph" w:styleId="981">
    <w:name w:val="toc 8"/>
    <w:basedOn w:val="908"/>
    <w:next w:val="908"/>
    <w:uiPriority w:val="99"/>
    <w:pPr>
      <w:ind w:left="1540"/>
      <w:spacing w:after="100" w:line="276" w:lineRule="auto"/>
    </w:pPr>
    <w:rPr>
      <w:rFonts w:ascii="Calibri" w:hAnsi="Calibri"/>
      <w:sz w:val="22"/>
      <w:szCs w:val="22"/>
    </w:rPr>
  </w:style>
  <w:style w:type="paragraph" w:styleId="982">
    <w:name w:val="toc 9"/>
    <w:basedOn w:val="908"/>
    <w:next w:val="908"/>
    <w:uiPriority w:val="99"/>
    <w:pPr>
      <w:ind w:left="1760"/>
      <w:spacing w:after="100" w:line="276" w:lineRule="auto"/>
    </w:pPr>
    <w:rPr>
      <w:rFonts w:ascii="Calibri" w:hAnsi="Calibri"/>
      <w:sz w:val="22"/>
      <w:szCs w:val="22"/>
    </w:rPr>
  </w:style>
  <w:style w:type="paragraph" w:styleId="983" w:customStyle="1">
    <w:name w:val="Стиль1"/>
    <w:basedOn w:val="908"/>
    <w:uiPriority w:val="99"/>
    <w:pPr>
      <w:numPr>
        <w:ilvl w:val="0"/>
        <w:numId w:val="2"/>
      </w:numPr>
      <w:jc w:val="both"/>
    </w:pPr>
    <w:rPr>
      <w:b/>
      <w:sz w:val="28"/>
      <w:szCs w:val="28"/>
    </w:rPr>
  </w:style>
  <w:style w:type="paragraph" w:styleId="984" w:customStyle="1">
    <w:name w:val="Стиль2"/>
    <w:basedOn w:val="908"/>
    <w:uiPriority w:val="99"/>
    <w:pPr>
      <w:numPr>
        <w:ilvl w:val="1"/>
        <w:numId w:val="3"/>
      </w:numPr>
      <w:jc w:val="both"/>
    </w:pPr>
    <w:rPr>
      <w:sz w:val="28"/>
      <w:szCs w:val="28"/>
    </w:rPr>
  </w:style>
  <w:style w:type="character" w:styleId="985" w:customStyle="1">
    <w:name w:val="Стиль1 Знак"/>
    <w:basedOn w:val="918"/>
    <w:uiPriority w:val="99"/>
    <w:rPr>
      <w:rFonts w:cs="Times New Roman"/>
      <w:b/>
      <w:sz w:val="28"/>
      <w:szCs w:val="28"/>
    </w:rPr>
  </w:style>
  <w:style w:type="character" w:styleId="986" w:customStyle="1">
    <w:name w:val="Стиль2 Знак"/>
    <w:basedOn w:val="918"/>
    <w:uiPriority w:val="99"/>
    <w:rPr>
      <w:rFonts w:cs="Times New Roman"/>
      <w:sz w:val="28"/>
      <w:szCs w:val="28"/>
    </w:rPr>
  </w:style>
  <w:style w:type="paragraph" w:styleId="987" w:customStyle="1">
    <w:name w:val="Текст по ГОСТ"/>
    <w:basedOn w:val="908"/>
    <w:link w:val="988"/>
    <w:uiPriority w:val="99"/>
    <w:pPr>
      <w:numPr>
        <w:ilvl w:val="0"/>
        <w:numId w:val="4"/>
      </w:numPr>
      <w:ind w:left="1134" w:hanging="283"/>
      <w:jc w:val="both"/>
    </w:pPr>
  </w:style>
  <w:style w:type="character" w:styleId="988" w:customStyle="1">
    <w:name w:val="Текст по ГОСТ Знак"/>
    <w:basedOn w:val="918"/>
    <w:link w:val="987"/>
    <w:uiPriority w:val="99"/>
    <w:rPr>
      <w:sz w:val="24"/>
      <w:szCs w:val="24"/>
    </w:rPr>
  </w:style>
  <w:style w:type="character" w:styleId="989" w:customStyle="1">
    <w:name w:val="news-date-time"/>
    <w:basedOn w:val="918"/>
    <w:uiPriority w:val="99"/>
    <w:rPr>
      <w:rFonts w:cs="Times New Roman"/>
    </w:rPr>
  </w:style>
  <w:style w:type="paragraph" w:styleId="990" w:customStyle="1">
    <w:name w:val="ConsPlu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991">
    <w:name w:val="List Bullet"/>
    <w:basedOn w:val="908"/>
    <w:uiPriority w:val="99"/>
    <w:pPr>
      <w:ind w:left="1077" w:hanging="357"/>
      <w:spacing w:after="60" w:line="240" w:lineRule="atLeast"/>
      <w:widowControl w:val="off"/>
      <w:tabs>
        <w:tab w:val="num" w:pos="1077" w:leader="none"/>
      </w:tabs>
    </w:pPr>
    <w:rPr>
      <w:lang w:val="en-US" w:eastAsia="en-US"/>
    </w:rPr>
  </w:style>
  <w:style w:type="paragraph" w:styleId="992" w:customStyle="1">
    <w:name w:val="ConsNormal"/>
    <w:uiPriority w:val="99"/>
    <w:pPr>
      <w:ind w:right="19772" w:firstLine="720"/>
      <w:widowControl w:val="off"/>
    </w:pPr>
    <w:rPr>
      <w:rFonts w:ascii="Arial" w:hAnsi="Arial" w:cs="Arial"/>
    </w:rPr>
  </w:style>
  <w:style w:type="paragraph" w:styleId="993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94">
    <w:name w:val="endnote text"/>
    <w:basedOn w:val="908"/>
    <w:link w:val="995"/>
    <w:uiPriority w:val="99"/>
    <w:rPr>
      <w:sz w:val="20"/>
      <w:szCs w:val="20"/>
    </w:rPr>
  </w:style>
  <w:style w:type="character" w:styleId="995" w:customStyle="1">
    <w:name w:val="Текст концевой сноски Знак"/>
    <w:basedOn w:val="918"/>
    <w:link w:val="994"/>
    <w:uiPriority w:val="99"/>
  </w:style>
  <w:style w:type="character" w:styleId="996">
    <w:name w:val="endnote reference"/>
    <w:basedOn w:val="918"/>
    <w:uiPriority w:val="99"/>
    <w:rPr>
      <w:rFonts w:cs="Times New Roman"/>
      <w:vertAlign w:val="superscript"/>
    </w:rPr>
  </w:style>
  <w:style w:type="paragraph" w:styleId="997" w:customStyle="1">
    <w:name w:val="news-item"/>
    <w:basedOn w:val="908"/>
    <w:uiPriority w:val="99"/>
    <w:pPr>
      <w:spacing w:before="100" w:beforeAutospacing="1" w:after="100" w:afterAutospacing="1"/>
    </w:pPr>
  </w:style>
  <w:style w:type="paragraph" w:styleId="998" w:customStyle="1">
    <w:name w:val="Знак"/>
    <w:basedOn w:val="9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99">
    <w:name w:val="Strong"/>
    <w:basedOn w:val="918"/>
    <w:qFormat/>
    <w:rPr>
      <w:rFonts w:cs="Times New Roman"/>
      <w:b/>
      <w:bCs/>
    </w:rPr>
  </w:style>
  <w:style w:type="character" w:styleId="1000">
    <w:name w:val="Emphasis"/>
    <w:basedOn w:val="918"/>
    <w:qFormat/>
    <w:rPr>
      <w:rFonts w:cs="Times New Roman"/>
      <w:i/>
      <w:iCs/>
    </w:rPr>
  </w:style>
  <w:style w:type="paragraph" w:styleId="1001">
    <w:name w:val="Title"/>
    <w:basedOn w:val="908"/>
    <w:link w:val="1002"/>
    <w:qFormat/>
    <w:pPr>
      <w:jc w:val="center"/>
    </w:pPr>
    <w:rPr>
      <w:rFonts w:eastAsia="Calibri"/>
      <w:sz w:val="28"/>
      <w:szCs w:val="20"/>
    </w:rPr>
  </w:style>
  <w:style w:type="character" w:styleId="1002" w:customStyle="1">
    <w:name w:val="Название Знак"/>
    <w:basedOn w:val="918"/>
    <w:link w:val="1001"/>
    <w:rPr>
      <w:rFonts w:eastAsia="Calibri"/>
      <w:sz w:val="28"/>
    </w:rPr>
  </w:style>
  <w:style w:type="paragraph" w:styleId="1003" w:customStyle="1">
    <w:name w:val="Обычный.Название подразделения"/>
    <w:rPr>
      <w:rFonts w:ascii="SchoolBook" w:hAnsi="SchoolBook" w:eastAsia="Calibri"/>
      <w:sz w:val="28"/>
    </w:rPr>
  </w:style>
  <w:style w:type="table" w:styleId="1004">
    <w:name w:val="Table Grid"/>
    <w:basedOn w:val="91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05" w:customStyle="1">
    <w:name w:val="Основной текст1"/>
    <w:pPr>
      <w:ind w:firstLine="504"/>
      <w:jc w:val="both"/>
      <w:widowControl w:val="off"/>
    </w:pPr>
    <w:rPr>
      <w:color w:val="000000"/>
      <w:sz w:val="28"/>
    </w:rPr>
  </w:style>
  <w:style w:type="paragraph" w:styleId="100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03BE5-8A1E-4925-99EF-DFD8CF45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Минобразования Чувашии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Республикин</dc:title>
  <dc:creator>obrazov24</dc:creator>
  <cp:revision>303</cp:revision>
  <dcterms:created xsi:type="dcterms:W3CDTF">2022-12-14T06:42:00Z</dcterms:created>
  <dcterms:modified xsi:type="dcterms:W3CDTF">2024-12-03T13:43:59Z</dcterms:modified>
</cp:coreProperties>
</file>