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line="240" w:lineRule="auto"/>
        <w:ind/>
        <w:rPr>
          <w:rFonts w:ascii="Arial" w:hAnsi="Arial"/>
          <w:color w:val="212529"/>
          <w:sz w:val="21"/>
        </w:rPr>
      </w:pPr>
    </w:p>
    <w:p w14:paraId="02000000">
      <w:pPr>
        <w:spacing w:after="0" w:line="240" w:lineRule="auto"/>
        <w:ind/>
        <w:jc w:val="center"/>
        <w:rPr>
          <w:rFonts w:ascii="Roboto" w:hAnsi="Roboto"/>
          <w:b w:val="1"/>
          <w:color w:val="212529"/>
          <w:sz w:val="21"/>
        </w:rPr>
      </w:pPr>
      <w:r>
        <w:rPr>
          <w:rFonts w:ascii="Times New Roman" w:hAnsi="Times New Roman"/>
          <w:b w:val="1"/>
          <w:color w:val="212529"/>
          <w:sz w:val="20"/>
        </w:rPr>
        <w:t xml:space="preserve"> Педагогических состав работников начального общего образования </w:t>
      </w:r>
    </w:p>
    <w:p w14:paraId="03000000">
      <w:pPr>
        <w:spacing w:after="0" w:line="240" w:lineRule="auto"/>
        <w:ind/>
        <w:jc w:val="center"/>
        <w:rPr>
          <w:rFonts w:ascii="Roboto" w:hAnsi="Roboto"/>
          <w:b w:val="1"/>
          <w:color w:val="212529"/>
          <w:sz w:val="21"/>
        </w:rPr>
      </w:pPr>
      <w:r>
        <w:rPr>
          <w:rFonts w:ascii="Times New Roman" w:hAnsi="Times New Roman"/>
          <w:b w:val="1"/>
          <w:color w:val="212529"/>
          <w:sz w:val="20"/>
        </w:rPr>
        <w:t>МБОУ «</w:t>
      </w:r>
      <w:r>
        <w:rPr>
          <w:rFonts w:ascii="Times New Roman" w:hAnsi="Times New Roman"/>
          <w:b w:val="1"/>
          <w:color w:val="212529"/>
          <w:sz w:val="20"/>
        </w:rPr>
        <w:t>Янгильдинская</w:t>
      </w:r>
      <w:r>
        <w:rPr>
          <w:rFonts w:ascii="Times New Roman" w:hAnsi="Times New Roman"/>
          <w:b w:val="1"/>
          <w:color w:val="212529"/>
          <w:sz w:val="20"/>
        </w:rPr>
        <w:t xml:space="preserve"> СОШ» Чебоксарского муниципального округа Чувашской Республики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0"/>
        </w:rPr>
      </w:pPr>
      <w:r>
        <w:rPr>
          <w:rFonts w:ascii="Times New Roman" w:hAnsi="Times New Roman"/>
          <w:b w:val="1"/>
          <w:color w:val="212529"/>
          <w:sz w:val="20"/>
        </w:rPr>
        <w:t>на 2024-2025 учебный год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468"/>
        <w:gridCol w:w="1575"/>
        <w:gridCol w:w="2449"/>
        <w:gridCol w:w="1455"/>
        <w:gridCol w:w="875"/>
        <w:gridCol w:w="699"/>
        <w:gridCol w:w="1677"/>
        <w:gridCol w:w="1524"/>
        <w:gridCol w:w="1285"/>
        <w:gridCol w:w="1875"/>
      </w:tblGrid>
      <w:tr>
        <w:trPr>
          <w:trHeight w:hRule="atLeast" w:val="567"/>
          <w:tblHeader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Фамилия, имя, отчество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Занимаемая</w:t>
            </w:r>
          </w:p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должность (должности)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Уровень профессионального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образования, квалификация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Ученая степень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Ученое звание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 xml:space="preserve"> Сведения о повышении квалификации (за последние 3 года)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Сведения о профессиональной переподготовке (при наличии)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Наименование общеобразовательных программы, в реализации которых участвует педагогический работник</w:t>
            </w:r>
          </w:p>
        </w:tc>
      </w:tr>
      <w:tr>
        <w:trPr>
          <w:trHeight w:hRule="atLeast" w:val="567"/>
          <w:tblHeader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Ярославцева Вера Владимировна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начальных классов, заместитель директора по ВР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Русский язык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Литературное чтение</w:t>
            </w:r>
          </w:p>
          <w:p w14:paraId="14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Литературное чтение на родном языке (чувашском)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Родной язык (чувашский)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Математика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Окружающий мир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Изобразительное искусство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Музыка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Труд (технология)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Физкультура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Высшее, первая квалификационная категория, 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педагогика и методика начального образования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2022, 2023, 2024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5 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НОО, ООП ООО</w:t>
            </w:r>
          </w:p>
        </w:tc>
      </w:tr>
      <w:tr>
        <w:trPr>
          <w:trHeight w:hRule="atLeast" w:val="567"/>
          <w:tblHeader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Ротманова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 Вера Егоровна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начальных классов, социальный педагог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Русский язык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Литературное чтение</w:t>
            </w:r>
          </w:p>
          <w:p w14:paraId="20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Литературное чтение на родном языке (чувашском)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Родной язык (чувашский)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Математика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Окружающий мир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Изобразительное искусство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Музыка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Труд (технология)</w:t>
            </w:r>
          </w:p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Физкультура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ОРКСЭ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, первая квалификационная категория, 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педагогика и методика начального образования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32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НОО</w:t>
            </w:r>
          </w:p>
        </w:tc>
      </w:tr>
      <w:tr>
        <w:trPr>
          <w:trHeight w:hRule="atLeast" w:val="567"/>
          <w:tblHeader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Полытова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 Надежда Валерьяновна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начальных классов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Русский язык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Литературное чтение</w:t>
            </w:r>
          </w:p>
          <w:p w14:paraId="2D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Литературное чтение на родном языке (чувашском)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Родной язык (чувашский)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Математика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Окружающий мир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Изобразительное искусство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Музыка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Труд (технология)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Физкультура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Английский язык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, первая квалификационная категория, 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педагогика и методика начального образования, английский язык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17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НОО</w:t>
            </w:r>
          </w:p>
        </w:tc>
      </w:tr>
      <w:tr>
        <w:trPr>
          <w:trHeight w:hRule="atLeast" w:val="567"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Тремасова Зинаида Борисовна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начальных классов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Русский язык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Литературное чтение</w:t>
            </w:r>
          </w:p>
          <w:p w14:paraId="3A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Литературное чтение на родном языке (чувашском)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Родной язык (чувашский)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Математика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Окружающий мир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Изобразительное искусство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Музыка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Труд (технология)</w:t>
            </w:r>
          </w:p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Физкультура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>, первая квалификационная категория, педагог-психолог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2024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Педагогика и методика нач. образования и английский язык 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7 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НОО, АООП УО</w:t>
            </w:r>
          </w:p>
        </w:tc>
      </w:tr>
      <w:tr>
        <w:trPr>
          <w:trHeight w:hRule="atLeast" w:val="567"/>
        </w:trPr>
        <w:tc>
          <w:tcPr>
            <w:tcW w:type="dxa" w:w="1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spacing w:after="0" w:line="240" w:lineRule="atLeast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Соловьёва Надежда Львовна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английского и немецкого языков</w:t>
            </w:r>
          </w:p>
        </w:tc>
        <w:tc>
          <w:tcPr>
            <w:tcW w:type="dxa" w:w="2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00000">
            <w:pPr>
              <w:pStyle w:val="Style_2"/>
              <w:spacing w:after="0" w:line="240" w:lineRule="atLeast"/>
              <w:ind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  <w:p w14:paraId="46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>, первая квалификационная категория, английский и немецкий языки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34 </w:t>
            </w:r>
          </w:p>
          <w:p w14:paraId="4D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tLeast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НОО</w:t>
            </w:r>
            <w:r>
              <w:rPr>
                <w:rFonts w:ascii="Times New Roman" w:hAnsi="Times New Roman"/>
                <w:color w:val="212529"/>
                <w:sz w:val="20"/>
              </w:rPr>
              <w:t>, ООП ООО, ООП СОО, АООП ЗПР</w:t>
            </w:r>
          </w:p>
        </w:tc>
      </w:tr>
    </w:tbl>
    <w:p w14:paraId="4F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sectPr>
      <w:pgSz w:h="11906" w:orient="landscape" w:w="16838"/>
      <w:pgMar w:bottom="567" w:footer="708" w:gutter="0" w:header="708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small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small"/>
    <w:basedOn w:val="Style_3_ch"/>
    <w:link w:val="Style_2"/>
    <w:rPr>
      <w:rFonts w:ascii="Times New Roman" w:hAnsi="Times New Roman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Слабое выделение1"/>
    <w:basedOn w:val="Style_13"/>
    <w:link w:val="Style_28_ch"/>
    <w:rPr>
      <w:i w:val="1"/>
      <w:color w:themeColor="text1" w:themeTint="7F" w:val="808080"/>
    </w:rPr>
  </w:style>
  <w:style w:styleId="Style_28_ch" w:type="character">
    <w:name w:val="Слабое выделение1"/>
    <w:basedOn w:val="Style_13_ch"/>
    <w:link w:val="Style_28"/>
    <w:rPr>
      <w:i w:val="1"/>
      <w:color w:themeColor="text1" w:themeTint="7F" w:val="80808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2024-11-26T06:48:46Z</dcterms:modified>
</cp:coreProperties>
</file>