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РАССМОТРЕНО                                                                                                                                 УТВЕРЖДЕНО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на заседании  педагогического совета                                                                                               Приказом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протокол № </w:t>
      </w:r>
      <w:r>
        <w:rPr>
          <w:rFonts w:cs="Times New Roman" w:ascii="Times New Roman" w:hAnsi="Times New Roman"/>
          <w:sz w:val="18"/>
          <w:szCs w:val="18"/>
        </w:rPr>
        <w:t>1</w:t>
      </w:r>
      <w:r>
        <w:rPr>
          <w:rFonts w:cs="Times New Roman" w:ascii="Times New Roman" w:hAnsi="Times New Roman"/>
          <w:sz w:val="18"/>
          <w:szCs w:val="18"/>
        </w:rPr>
        <w:t xml:space="preserve">    от  3</w:t>
      </w:r>
      <w:r>
        <w:rPr>
          <w:rFonts w:cs="Times New Roman" w:ascii="Times New Roman" w:hAnsi="Times New Roman"/>
          <w:sz w:val="18"/>
          <w:szCs w:val="18"/>
        </w:rPr>
        <w:t>0</w:t>
      </w:r>
      <w:r>
        <w:rPr>
          <w:rFonts w:cs="Times New Roman" w:ascii="Times New Roman" w:hAnsi="Times New Roman"/>
          <w:sz w:val="18"/>
          <w:szCs w:val="18"/>
        </w:rPr>
        <w:t>.08. 202</w:t>
      </w:r>
      <w:r>
        <w:rPr>
          <w:rFonts w:cs="Times New Roman" w:ascii="Times New Roman" w:hAnsi="Times New Roman"/>
          <w:sz w:val="18"/>
          <w:szCs w:val="18"/>
        </w:rPr>
        <w:t>4</w:t>
      </w:r>
      <w:r>
        <w:rPr>
          <w:rFonts w:cs="Times New Roman" w:ascii="Times New Roman" w:hAnsi="Times New Roman"/>
          <w:sz w:val="18"/>
          <w:szCs w:val="18"/>
        </w:rPr>
        <w:t xml:space="preserve"> года                                                                                                   МБДОУ «Детский сад «Сеспель»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от 3</w:t>
      </w:r>
      <w:r>
        <w:rPr>
          <w:rFonts w:cs="Times New Roman" w:ascii="Times New Roman" w:hAnsi="Times New Roman"/>
          <w:sz w:val="18"/>
          <w:szCs w:val="18"/>
        </w:rPr>
        <w:t>0</w:t>
      </w:r>
      <w:r>
        <w:rPr>
          <w:rFonts w:cs="Times New Roman" w:ascii="Times New Roman" w:hAnsi="Times New Roman"/>
          <w:sz w:val="18"/>
          <w:szCs w:val="18"/>
        </w:rPr>
        <w:t>.08. 202</w:t>
      </w:r>
      <w:r>
        <w:rPr>
          <w:rFonts w:cs="Times New Roman" w:ascii="Times New Roman" w:hAnsi="Times New Roman"/>
          <w:sz w:val="18"/>
          <w:szCs w:val="18"/>
        </w:rPr>
        <w:t>4</w:t>
      </w:r>
      <w:r>
        <w:rPr>
          <w:rFonts w:cs="Times New Roman" w:ascii="Times New Roman" w:hAnsi="Times New Roman"/>
          <w:sz w:val="18"/>
          <w:szCs w:val="18"/>
        </w:rPr>
        <w:t xml:space="preserve"> г №</w:t>
      </w:r>
      <w:r>
        <w:rPr>
          <w:rFonts w:cs="Times New Roman" w:ascii="Times New Roman" w:hAnsi="Times New Roman"/>
          <w:sz w:val="18"/>
          <w:szCs w:val="18"/>
        </w:rPr>
        <w:t>49</w:t>
      </w:r>
      <w:r>
        <w:rPr>
          <w:rFonts w:cs="Times New Roman" w:ascii="Times New Roman" w:hAnsi="Times New Roman"/>
          <w:sz w:val="18"/>
          <w:szCs w:val="18"/>
        </w:rPr>
        <w:t xml:space="preserve">-од                            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УЧЕБНЫЙ  ПЛАН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МБДОУ «Детский сад  «Сеспель» общеразвивающего вида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с приоритетным осуществлением социально-личностного развития ребенка»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Красноармейского муниципального округа Чувашской Республики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на   202</w:t>
      </w:r>
      <w:r>
        <w:rPr>
          <w:rFonts w:cs="Times New Roman" w:ascii="Times New Roman" w:hAnsi="Times New Roman"/>
          <w:sz w:val="18"/>
          <w:szCs w:val="18"/>
        </w:rPr>
        <w:t>4</w:t>
      </w:r>
      <w:r>
        <w:rPr>
          <w:rFonts w:cs="Times New Roman" w:ascii="Times New Roman" w:hAnsi="Times New Roman"/>
          <w:sz w:val="18"/>
          <w:szCs w:val="18"/>
        </w:rPr>
        <w:t xml:space="preserve"> – 202</w:t>
      </w:r>
      <w:r>
        <w:rPr>
          <w:rFonts w:cs="Times New Roman" w:ascii="Times New Roman" w:hAnsi="Times New Roman"/>
          <w:sz w:val="18"/>
          <w:szCs w:val="18"/>
        </w:rPr>
        <w:t>5</w:t>
      </w:r>
      <w:r>
        <w:rPr>
          <w:rFonts w:cs="Times New Roman" w:ascii="Times New Roman" w:hAnsi="Times New Roman"/>
          <w:sz w:val="18"/>
          <w:szCs w:val="18"/>
        </w:rPr>
        <w:t xml:space="preserve">  учебный год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Style w:val="a3"/>
        <w:tblW w:w="963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5"/>
        <w:gridCol w:w="45"/>
        <w:gridCol w:w="1590"/>
        <w:gridCol w:w="1200"/>
        <w:gridCol w:w="886"/>
        <w:gridCol w:w="885"/>
        <w:gridCol w:w="1228"/>
      </w:tblGrid>
      <w:tr>
        <w:trPr/>
        <w:tc>
          <w:tcPr>
            <w:tcW w:w="379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Образовательные области</w:t>
            </w:r>
          </w:p>
        </w:tc>
        <w:tc>
          <w:tcPr>
            <w:tcW w:w="583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Наименование возрастных групп</w:t>
            </w:r>
          </w:p>
        </w:tc>
      </w:tr>
      <w:tr>
        <w:trPr/>
        <w:tc>
          <w:tcPr>
            <w:tcW w:w="379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721" w:type="dxa"/>
            <w:gridSpan w:val="4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211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Разновозрастная комбинированная</w:t>
            </w:r>
          </w:p>
        </w:tc>
      </w:tr>
      <w:tr>
        <w:trPr/>
        <w:tc>
          <w:tcPr>
            <w:tcW w:w="3795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35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Вторая группа раннего возраста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1,6-3 года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Младшая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Группа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3-4 года</w:t>
            </w:r>
          </w:p>
        </w:tc>
        <w:tc>
          <w:tcPr>
            <w:tcW w:w="88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Средняя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Группа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4-5 лет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Старшая группами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5-6 лет</w:t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Подготовительная группа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6-7 лет</w:t>
            </w:r>
          </w:p>
        </w:tc>
      </w:tr>
      <w:tr>
        <w:trPr/>
        <w:tc>
          <w:tcPr>
            <w:tcW w:w="379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3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Количество занятий в неделю/год</w:t>
            </w:r>
          </w:p>
        </w:tc>
      </w:tr>
      <w:tr>
        <w:trPr/>
        <w:tc>
          <w:tcPr>
            <w:tcW w:w="9629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Обязательная часть</w:t>
            </w:r>
          </w:p>
        </w:tc>
      </w:tr>
      <w:tr>
        <w:trPr/>
        <w:tc>
          <w:tcPr>
            <w:tcW w:w="9629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Основная образовательная программа  соответствует  ФОП</w:t>
            </w:r>
          </w:p>
        </w:tc>
      </w:tr>
      <w:tr>
        <w:trPr/>
        <w:tc>
          <w:tcPr>
            <w:tcW w:w="9629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18"/>
                <w:szCs w:val="18"/>
                <w:lang w:val="ru-RU" w:bidi="ar-SA"/>
              </w:rPr>
              <w:t>Социально-коммуникативное развитие</w:t>
            </w:r>
          </w:p>
        </w:tc>
      </w:tr>
      <w:tr>
        <w:trPr>
          <w:trHeight w:val="573" w:hRule="atLeast"/>
        </w:trPr>
        <w:tc>
          <w:tcPr>
            <w:tcW w:w="9629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Задачи по образовательной области Социально-коммуникативное развитие»  реализуются в областях «Речевое развитие», «Познавательное развитие», «Художественно-эстетическое развитие», «Физическое развитие» в режимных моментах а так же в игровой деятельности и находят отражение  в рабочих программах педагогов</w:t>
            </w:r>
          </w:p>
        </w:tc>
      </w:tr>
      <w:tr>
        <w:trPr/>
        <w:tc>
          <w:tcPr>
            <w:tcW w:w="9629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18"/>
                <w:szCs w:val="18"/>
                <w:lang w:val="ru-RU" w:bidi="ar-SA"/>
              </w:rPr>
              <w:t>Познавательное развитие</w:t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Познавательное развитие.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2/72</w:t>
            </w:r>
          </w:p>
        </w:tc>
        <w:tc>
          <w:tcPr>
            <w:tcW w:w="8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2/72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4/136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4/136</w:t>
            </w:r>
          </w:p>
        </w:tc>
      </w:tr>
      <w:tr>
        <w:trPr>
          <w:trHeight w:val="330" w:hRule="atLeast"/>
        </w:trPr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Окружающий мир.</w:t>
            </w:r>
          </w:p>
        </w:tc>
        <w:tc>
          <w:tcPr>
            <w:tcW w:w="1635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0,5/17</w:t>
            </w:r>
          </w:p>
        </w:tc>
        <w:tc>
          <w:tcPr>
            <w:tcW w:w="12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886" w:type="dxa"/>
            <w:vMerge w:val="restart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88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2/72</w:t>
            </w:r>
          </w:p>
        </w:tc>
        <w:tc>
          <w:tcPr>
            <w:tcW w:w="122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2/72</w:t>
            </w:r>
          </w:p>
        </w:tc>
      </w:tr>
      <w:tr>
        <w:trPr>
          <w:trHeight w:val="375" w:hRule="atLeast"/>
        </w:trPr>
        <w:tc>
          <w:tcPr>
            <w:tcW w:w="37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Природа</w:t>
            </w:r>
          </w:p>
        </w:tc>
        <w:tc>
          <w:tcPr>
            <w:tcW w:w="1635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W w:w="12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W w:w="886" w:type="dxa"/>
            <w:vMerge w:val="continue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W w:w="88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W w:w="122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Формирование элементарных математических представлений. Сенсорные эталоны и познавательные действия.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0,5/17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8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2/72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2/72</w:t>
            </w:r>
          </w:p>
        </w:tc>
      </w:tr>
      <w:tr>
        <w:trPr/>
        <w:tc>
          <w:tcPr>
            <w:tcW w:w="7516" w:type="dxa"/>
            <w:gridSpan w:val="5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18"/>
                <w:szCs w:val="18"/>
                <w:lang w:val="ru-RU" w:bidi="ar-SA"/>
              </w:rPr>
              <w:t>Речевое развитие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18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18"/>
              </w:rPr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Речевое развитие.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2/68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8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2/72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2/72</w:t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Развитие речи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12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0.5/17</w:t>
            </w:r>
          </w:p>
        </w:tc>
        <w:tc>
          <w:tcPr>
            <w:tcW w:w="886" w:type="dxa"/>
            <w:vMerge w:val="restart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0.5/17</w:t>
            </w:r>
          </w:p>
        </w:tc>
        <w:tc>
          <w:tcPr>
            <w:tcW w:w="88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1/34</w:t>
            </w:r>
          </w:p>
        </w:tc>
        <w:tc>
          <w:tcPr>
            <w:tcW w:w="122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Обучение грамоте. Обучение чувашскому языку.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12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886" w:type="dxa"/>
            <w:vMerge w:val="continue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88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122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Интерес к художественной литературе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0.5/17</w:t>
            </w:r>
          </w:p>
        </w:tc>
        <w:tc>
          <w:tcPr>
            <w:tcW w:w="8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0.5/17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1/34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</w:tr>
      <w:tr>
        <w:trPr/>
        <w:tc>
          <w:tcPr>
            <w:tcW w:w="6630" w:type="dxa"/>
            <w:gridSpan w:val="4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18"/>
                <w:szCs w:val="18"/>
                <w:lang w:val="ru-RU" w:bidi="ar-SA"/>
              </w:rPr>
              <w:t>Художественно-эстетическое развитие</w:t>
            </w:r>
          </w:p>
        </w:tc>
        <w:tc>
          <w:tcPr>
            <w:tcW w:w="299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18"/>
              </w:rPr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Художественно-эстетическое развитие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4/136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5/170</w:t>
            </w:r>
          </w:p>
        </w:tc>
        <w:tc>
          <w:tcPr>
            <w:tcW w:w="8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4/136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6/204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6/204</w:t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Изобразительная деятельность. Приобщение к искусству. Рисование.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8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2/72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2/72</w:t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Изобразительная деятельность. Приобщение к искусству. Лепка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12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886" w:type="dxa"/>
            <w:vMerge w:val="restart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88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1/34</w:t>
            </w:r>
          </w:p>
        </w:tc>
        <w:tc>
          <w:tcPr>
            <w:tcW w:w="122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Изобразительная деятельность. Приобщение к искусству. Аппликация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886" w:type="dxa"/>
            <w:vMerge w:val="continue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88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122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/>
        <w:tc>
          <w:tcPr>
            <w:tcW w:w="37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Конструктивная деятельность.</w:t>
            </w:r>
          </w:p>
        </w:tc>
        <w:tc>
          <w:tcPr>
            <w:tcW w:w="1635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1/34</w:t>
            </w:r>
          </w:p>
        </w:tc>
        <w:tc>
          <w:tcPr>
            <w:tcW w:w="88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1/34</w:t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1/34</w:t>
            </w:r>
          </w:p>
        </w:tc>
      </w:tr>
      <w:tr>
        <w:trPr/>
        <w:tc>
          <w:tcPr>
            <w:tcW w:w="37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Театрализованная деятельность.</w:t>
            </w:r>
          </w:p>
        </w:tc>
        <w:tc>
          <w:tcPr>
            <w:tcW w:w="583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В ходе режимных моментов, в самостоятельной и совместной деятельности детей и взрослых</w:t>
            </w:r>
          </w:p>
        </w:tc>
      </w:tr>
      <w:tr>
        <w:trPr/>
        <w:tc>
          <w:tcPr>
            <w:tcW w:w="37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Культурно-досуговая деятельность</w:t>
            </w:r>
          </w:p>
        </w:tc>
        <w:tc>
          <w:tcPr>
            <w:tcW w:w="583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 в месяц  музыкальное развлечение,  дни рождения</w:t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Музыкальная деятельность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2/72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2/72</w:t>
            </w:r>
          </w:p>
        </w:tc>
        <w:tc>
          <w:tcPr>
            <w:tcW w:w="8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2/72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2/72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2/72</w:t>
            </w:r>
          </w:p>
        </w:tc>
      </w:tr>
      <w:tr>
        <w:trPr/>
        <w:tc>
          <w:tcPr>
            <w:tcW w:w="6630" w:type="dxa"/>
            <w:gridSpan w:val="4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18"/>
                <w:szCs w:val="18"/>
                <w:lang w:val="ru-RU" w:bidi="ar-SA"/>
              </w:rPr>
              <w:t>Физическое развитие</w:t>
            </w:r>
          </w:p>
        </w:tc>
        <w:tc>
          <w:tcPr>
            <w:tcW w:w="299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18"/>
              </w:rPr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Физическое развитие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3/102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2/72</w:t>
            </w:r>
          </w:p>
        </w:tc>
        <w:tc>
          <w:tcPr>
            <w:tcW w:w="8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3/102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3/102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ru-RU" w:bidi="ar-SA"/>
              </w:rPr>
              <w:t>3/102</w:t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Формирование основ о  здоровом образе жизни. Активный отдых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8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lang w:val="ru-RU" w:bidi="ar-SA"/>
              </w:rPr>
              <w:t>1/34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</w:tr>
      <w:tr>
        <w:trPr>
          <w:trHeight w:val="347" w:hRule="atLeast"/>
        </w:trPr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Физическая культура</w:t>
            </w:r>
          </w:p>
        </w:tc>
        <w:tc>
          <w:tcPr>
            <w:tcW w:w="16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2/68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1/34</w:t>
            </w:r>
          </w:p>
        </w:tc>
        <w:tc>
          <w:tcPr>
            <w:tcW w:w="8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2/68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2/68</w:t>
            </w:r>
          </w:p>
        </w:tc>
      </w:tr>
      <w:tr>
        <w:trPr/>
        <w:tc>
          <w:tcPr>
            <w:tcW w:w="37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35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lang w:val="ru-RU" w:bidi="ar-SA"/>
              </w:rPr>
              <w:t>10/340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lang w:val="ru-RU" w:bidi="ar-SA"/>
              </w:rPr>
              <w:t>10/340</w:t>
            </w:r>
          </w:p>
        </w:tc>
        <w:tc>
          <w:tcPr>
            <w:tcW w:w="88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lang w:val="ru-RU" w:bidi="ar-SA"/>
              </w:rPr>
              <w:t>10/340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lang w:val="ru-RU" w:bidi="ar-SA"/>
              </w:rPr>
              <w:t>14/476</w:t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lang w:val="ru-RU" w:bidi="ar-SA"/>
              </w:rPr>
              <w:t>14/476</w:t>
            </w:r>
          </w:p>
        </w:tc>
      </w:tr>
      <w:tr>
        <w:trPr/>
        <w:tc>
          <w:tcPr>
            <w:tcW w:w="37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Физкультурное развлечение</w:t>
            </w:r>
          </w:p>
        </w:tc>
        <w:tc>
          <w:tcPr>
            <w:tcW w:w="1635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 раз в месяц</w:t>
            </w:r>
          </w:p>
        </w:tc>
        <w:tc>
          <w:tcPr>
            <w:tcW w:w="88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 раз в месяц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 раз в месяц</w:t>
            </w:r>
          </w:p>
        </w:tc>
      </w:tr>
      <w:tr>
        <w:trPr/>
        <w:tc>
          <w:tcPr>
            <w:tcW w:w="37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Физкультурный праздник</w:t>
            </w:r>
          </w:p>
        </w:tc>
        <w:tc>
          <w:tcPr>
            <w:tcW w:w="1635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88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2 раза в год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2 раза в год</w:t>
            </w:r>
          </w:p>
        </w:tc>
      </w:tr>
      <w:tr>
        <w:trPr/>
        <w:tc>
          <w:tcPr>
            <w:tcW w:w="37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День здоровья</w:t>
            </w:r>
          </w:p>
        </w:tc>
        <w:tc>
          <w:tcPr>
            <w:tcW w:w="1635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 раз в квартал</w:t>
            </w:r>
          </w:p>
        </w:tc>
        <w:tc>
          <w:tcPr>
            <w:tcW w:w="88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 раз в квартал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 раз в квартал</w:t>
            </w:r>
          </w:p>
        </w:tc>
      </w:tr>
      <w:tr>
        <w:trPr/>
        <w:tc>
          <w:tcPr>
            <w:tcW w:w="37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Музыкальное развлечение</w:t>
            </w:r>
          </w:p>
        </w:tc>
        <w:tc>
          <w:tcPr>
            <w:tcW w:w="1635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 раз в месяц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 раз в месяц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88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 раз в месяц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ru-RU" w:bidi="ar-SA"/>
              </w:rPr>
              <w:t>1 раз в месяц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/>
        <w:tc>
          <w:tcPr>
            <w:tcW w:w="9629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Часть, формируемая участниками образовательного процесса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>
          <w:trHeight w:val="1035" w:hRule="atLeast"/>
        </w:trPr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212529"/>
                <w:kern w:val="0"/>
                <w:sz w:val="22"/>
                <w:szCs w:val="22"/>
                <w:shd w:fill="F4F4F4" w:val="clear"/>
                <w:lang w:val="ru-RU" w:bidi="ar-SA"/>
              </w:rPr>
              <w:t>Вторая группа раннего возраста</w:t>
            </w:r>
          </w:p>
        </w:tc>
        <w:tc>
          <w:tcPr>
            <w:tcW w:w="2835" w:type="dxa"/>
            <w:gridSpan w:val="3"/>
            <w:tcBorders>
              <w:right w:val="nil"/>
            </w:tcBorders>
          </w:tcPr>
          <w:p>
            <w:pPr>
              <w:pStyle w:val="ListParagraph"/>
              <w:widowControl w:val="false"/>
              <w:spacing w:before="0" w:after="200"/>
              <w:ind w:left="720" w:hanging="0"/>
              <w:contextualSpacing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212529"/>
                <w:kern w:val="0"/>
                <w:sz w:val="22"/>
                <w:szCs w:val="22"/>
                <w:shd w:fill="F4F4F4" w:val="clear"/>
                <w:lang w:val="ru-RU" w:bidi="ar-SA"/>
              </w:rPr>
              <w:t>Лыковаа  И.А «Цветные ладошки».</w:t>
            </w:r>
          </w:p>
        </w:tc>
        <w:tc>
          <w:tcPr>
            <w:tcW w:w="2999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2"/>
              </w:rPr>
              <w:t xml:space="preserve">Васильева Л. Г. Программа этнохудожественного развития детей 2-4 лет «Узоры Чувашской земли», 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0"/>
                <w:szCs w:val="22"/>
                <w:lang w:val="ru-RU" w:bidi="ar-SA"/>
              </w:rPr>
              <w:t>Чувашское книжное издательство, 2015 г.</w:t>
            </w:r>
          </w:p>
        </w:tc>
      </w:tr>
      <w:tr>
        <w:trPr>
          <w:trHeight w:val="1035" w:hRule="atLeast"/>
        </w:trPr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Младшая группа</w:t>
            </w:r>
          </w:p>
        </w:tc>
        <w:tc>
          <w:tcPr>
            <w:tcW w:w="2835" w:type="dxa"/>
            <w:gridSpan w:val="3"/>
            <w:tcBorders>
              <w:right w:val="nil"/>
            </w:tcBorders>
          </w:tcPr>
          <w:p>
            <w:pPr>
              <w:pStyle w:val="Default"/>
              <w:widowControl w:val="false"/>
              <w:ind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С.Н. Юный эколог. Программа экологического воспитания, Мозаика – Синтез, Москва, 2010.</w:t>
            </w:r>
          </w:p>
        </w:tc>
        <w:tc>
          <w:tcPr>
            <w:tcW w:w="299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</w:r>
          </w:p>
        </w:tc>
      </w:tr>
      <w:tr>
        <w:trPr/>
        <w:tc>
          <w:tcPr>
            <w:tcW w:w="3840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Старшая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группа</w:t>
            </w:r>
          </w:p>
        </w:tc>
        <w:tc>
          <w:tcPr>
            <w:tcW w:w="578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Проект по агролаборатории</w:t>
            </w:r>
          </w:p>
        </w:tc>
      </w:tr>
      <w:tr>
        <w:trPr/>
        <w:tc>
          <w:tcPr>
            <w:tcW w:w="379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Разновозрастная (старшая, подготовительная)</w:t>
            </w:r>
          </w:p>
        </w:tc>
        <w:tc>
          <w:tcPr>
            <w:tcW w:w="5834" w:type="dxa"/>
            <w:gridSpan w:val="6"/>
            <w:tcBorders/>
          </w:tcPr>
          <w:p>
            <w:pPr>
              <w:pStyle w:val="Default"/>
              <w:widowControl w:val="false"/>
              <w:ind w:firstLine="70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Социально-коммуникативное развитие:</w:t>
            </w:r>
          </w:p>
          <w:p>
            <w:pPr>
              <w:pStyle w:val="Default"/>
              <w:widowControl w:val="false"/>
              <w:ind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Безопасность: Учебное пособие по основам безопасности жизнедеятельности детей старшего дошкольного возраста /Н.Н. Авдеева, Н.Л. Князева, Р.Б. Стеркина – СПб.: «ДЕТСТВО-ПРЕСС», 2015.</w:t>
            </w:r>
          </w:p>
          <w:p>
            <w:pPr>
              <w:pStyle w:val="Default"/>
              <w:widowControl w:val="false"/>
              <w:ind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-Н.В. Нищева, Ю.А.Кириллова, Я люблю Россию! Парциальная программа «Патриотическое и духовно-нравственное воспитание детей старшего дошкольного возраста в соответствии с ФОП, СПб: ООО «Издательство «Детство-Пресс», 2023</w:t>
            </w:r>
          </w:p>
          <w:p>
            <w:pPr>
              <w:pStyle w:val="Default"/>
              <w:widowControl w:val="false"/>
              <w:ind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«Я, ты, мы»: Учебно-методическое пособие для воспитателей дошкольных образовательных учреждений /О.Л. Князева. Р.Б.Стеркина – М.: «Просвещение», 2005.</w:t>
            </w:r>
          </w:p>
          <w:p>
            <w:pPr>
              <w:pStyle w:val="Default"/>
              <w:widowControl w:val="false"/>
              <w:ind w:firstLine="70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Познавательное развитие:</w:t>
            </w:r>
          </w:p>
          <w:p>
            <w:pPr>
              <w:pStyle w:val="Default"/>
              <w:widowControl w:val="false"/>
              <w:ind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Николаева С.Н. Юный эколог. Программа экологического воспитания, Мозаика – Синтез, Москва, 2010.</w:t>
            </w:r>
          </w:p>
          <w:p>
            <w:pPr>
              <w:pStyle w:val="Default"/>
              <w:widowControl w:val="false"/>
              <w:ind w:hanging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Программа дошкольного образования для детей 5-7 лет «Экономическое воспитание дошкольников: формирование предпосылок финансовой грамотности», Москва, 2019.</w:t>
            </w:r>
          </w:p>
          <w:p>
            <w:pPr>
              <w:pStyle w:val="Default"/>
              <w:widowControl w:val="false"/>
              <w:ind w:firstLine="70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Речевое развитие:</w:t>
            </w:r>
          </w:p>
          <w:p>
            <w:pPr>
              <w:pStyle w:val="Default"/>
              <w:widowControl w:val="false"/>
              <w:ind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Программа по приобщению дошкольников к национальной культуре «Рассказы солнечного края»: примерное парциальное образовательная программа / Е.И. Николаева – Чебоксары: чуваш.кн. изд-во, 2015 г.</w:t>
            </w:r>
          </w:p>
          <w:p>
            <w:pPr>
              <w:pStyle w:val="Default"/>
              <w:widowControl w:val="false"/>
              <w:ind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«От звука к букве» Е.В. Колесникова</w:t>
            </w:r>
          </w:p>
          <w:p>
            <w:pPr>
              <w:pStyle w:val="Default"/>
              <w:widowControl w:val="false"/>
              <w:ind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Журова Л.Е.Обучение дошкольников грамоте., Москва, 2001</w:t>
            </w:r>
          </w:p>
          <w:p>
            <w:pPr>
              <w:pStyle w:val="Default"/>
              <w:widowControl w:val="false"/>
              <w:ind w:firstLine="70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Художественно-эстетическое развитие:</w:t>
            </w:r>
          </w:p>
          <w:p>
            <w:pPr>
              <w:pStyle w:val="Default"/>
              <w:widowControl w:val="false"/>
              <w:ind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Программа художественно-творческого развития ребенка – дошкольника средствами чувашского декоративно-прикладного искусства / Л.Г. Васильева. – Чебоксары, 1994 г.</w:t>
            </w:r>
          </w:p>
          <w:p>
            <w:pPr>
              <w:pStyle w:val="Default"/>
              <w:widowControl w:val="false"/>
              <w:ind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Программа «Цветные ладошки» И.А. Лыкова</w:t>
            </w:r>
          </w:p>
          <w:p>
            <w:pPr>
              <w:pStyle w:val="Default"/>
              <w:widowControl w:val="false"/>
              <w:ind w:firstLine="70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Физическое развитие:</w:t>
            </w:r>
          </w:p>
          <w:p>
            <w:pPr>
              <w:pStyle w:val="Default"/>
              <w:widowControl w:val="false"/>
              <w:ind w:hang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Воспитание здорового ребенка на традициях чувашского народа /Махалова И.В., Николаева Е.И. – Чебоксары, 2003 г.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18"/>
          <w:szCs w:val="18"/>
          <w:lang w:eastAsia="en-US"/>
        </w:rPr>
        <w:t>Пояснительная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18"/>
          <w:szCs w:val="18"/>
          <w:lang w:eastAsia="en-US"/>
        </w:rPr>
        <w:t>к учебному плану муниципального бюджетного дошкольного образовательного учреждения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18"/>
          <w:szCs w:val="18"/>
          <w:lang w:eastAsia="en-US"/>
        </w:rPr>
        <w:t>«Детский сад «Сеспель»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sz w:val="18"/>
          <w:szCs w:val="18"/>
          <w:lang w:eastAsia="en-US"/>
        </w:rPr>
        <w:t>Учебный план является нормативным документом, регламентирующим организацию образовательного процесса в дошкольном учреждении с учетом специфики ДОУ, учебно-методического, кадрового и материально-технического оснащения. Нормативной базой для составления учебного плана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sz w:val="18"/>
          <w:szCs w:val="18"/>
          <w:lang w:eastAsia="en-US"/>
        </w:rPr>
        <w:t>- Федеральный закон Российской Федерации от 29 декабря 2012 года №273-ФЗ;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sz w:val="18"/>
          <w:szCs w:val="18"/>
          <w:lang w:eastAsia="en-US"/>
        </w:rPr>
        <w:t>- Приказ Минобрнауки России от 30.08.2013 №1014 «Об утверждении 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sz w:val="18"/>
          <w:szCs w:val="18"/>
          <w:lang w:eastAsia="en-US"/>
        </w:rPr>
        <w:t>-  Постановление Главного государственного врача РФ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 от 15.05.2013 №26;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sz w:val="18"/>
          <w:szCs w:val="18"/>
          <w:lang w:eastAsia="en-US"/>
        </w:rPr>
        <w:t>- Приказ Минобрнауки России от 17.10.2013 №1155 «</w:t>
      </w: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Об утверждении федерального государственного образовательного стандарта дошкольного образования».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Организация образовательного процесса разработана в соответствии с основной образовательной программой МБДОУ «Детский сад «Сеспель», составленный на основе примерной общеобразовательной программы</w:t>
        <w:tab/>
        <w:t>дошкольного образования «От рождении до школы» под редакцией Н.Е. Вераксы, Т.С. Комаровой, М.А. Васильевой,2014.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В структуру учебного плана входят две взаимосвязанных части: обязательная часть и часть, формируемая участниками образовательного процесса.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Общее количество часов обязательной и вариативной части учебного плана не превышает максимальный объем учебной нагрузки.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Продолжительность обучения для детей дошкольного возраста в соответствии с нормативными документами составляет 5-дневную образовательную неделю.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Максимально допустимый объем непосредственно образовательной деятельности в неделю составляет: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во второй группе раннего возраста – 10 по 10 минут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в младшей группе – 10 по 15 минут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в средней группе – 10 по 20 минут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в старшей группе – 13 по 20-25 минут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в подготовительной группе – 14 по 30 минут.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Перерыв между одной организованной образовательной деятельностью и другой 10 минут.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Обязательная часть включает пять областей: социально-коммуникативное, познавательное, художественно-эстетическое, речевое и физическое развитие, в соответствии с возрастными возможностями и особенностями детей, а также комплексно-тематический принцип построения образовательного процесса.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Cs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eastAsia="Calibri" w:cs="Times New Roman" w:eastAsiaTheme="minorHAnsi"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 xml:space="preserve">1. Образовательная область «Социально-коммуникативная» </w:t>
      </w:r>
      <w:r>
        <w:rPr>
          <w:rFonts w:eastAsia="Calibri" w:cs="Times New Roman" w:ascii="Times New Roman" w:hAnsi="Times New Roman" w:eastAsiaTheme="minorHAnsi"/>
          <w:sz w:val="18"/>
          <w:szCs w:val="18"/>
          <w:lang w:eastAsia="en-US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Задачи психолого-педагогической работы данной области решаются наряду с задачами всех образовательных областей в рамках непосредственно образовательной деятельности, режимных моментов, в совместной деятельности взрослого и детей, в самостоятельной деятельности дошкольников со второй группы раннего возраста.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Разделы: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социализация, развитие общения, нравственное воспитание;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ребенок в семье и сообществе;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самообслуживание, самостоятельность, трудовое воспитание;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формирование основ безопасности.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 xml:space="preserve">Часть, формируемая участниками образовательного процесса реализуется по программам: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cs="Times New Roman" w:ascii="Times New Roman" w:hAnsi="Times New Roman"/>
          <w:sz w:val="18"/>
          <w:szCs w:val="18"/>
        </w:rPr>
        <w:t>Князева О.Л.  Программа по социально-эмоциональному развитию детей от 3 до 7 лет «Я, ты, мы», Москва, «Просвещение», 2005. Задачи решаются начиная с 3-летнего возраста.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Cs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 xml:space="preserve">2. Образовательная область «Познавательное развитие» </w:t>
      </w:r>
      <w:r>
        <w:rPr>
          <w:rFonts w:eastAsia="Calibri" w:cs="Times New Roman" w:ascii="Times New Roman" w:hAnsi="Times New Roman" w:eastAsiaTheme="minorHAnsi"/>
          <w:sz w:val="18"/>
          <w:szCs w:val="18"/>
          <w:lang w:eastAsia="en-US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Разделы: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формирование элементарных математических представлений включает «Количество», «Величина», «Форма», «Ориентировка в пространстве» со второй группы раннего возраста, «Ориентировка во времени» с младшей группы;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развитие познавательно-исследовательской деятельности включает «Сенсорное развитие» и «Дидактическая игра» со второй группы раннего возраста; «Познавательно-исследовательская деятельность» с младшей группы; «Проектная деятельность» со средней группы;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ознакомление с предметным окружением вводится со второй группы раннего возраста;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ознакомление с социальным миром вводится со второй группы раннего возраста;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ознакомление с миром природы вводится со второй группы раннего возраста.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 xml:space="preserve">Часть, формируемая участниками образовательного процесса реализуется через программы: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0"/>
        <w:contextualSpacing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Программа образования ребенка – дошкольника» под ред. Кузнецовой. Задачи решаются во всех возрастных группах.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Cs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ab/>
        <w:t xml:space="preserve">3. Образовательная область «Речевое развитие» </w:t>
      </w:r>
      <w:r>
        <w:rPr>
          <w:rFonts w:eastAsia="Calibri" w:cs="Times New Roman" w:ascii="Times New Roman" w:hAnsi="Times New Roman" w:eastAsiaTheme="minorHAnsi"/>
          <w:sz w:val="18"/>
          <w:szCs w:val="18"/>
          <w:lang w:eastAsia="en-US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sz w:val="18"/>
          <w:szCs w:val="18"/>
          <w:lang w:eastAsia="en-US"/>
        </w:rPr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Разделы: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развитие речи вводится со второй группы раннего возраста;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приобщение к художественной литературе вводится со второй группы раннего возраста.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Начиная со второй половины учебного года со  средней группы начинается обучение подготовка к обучению грамоте.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 xml:space="preserve">Часть, формируемая участниками образовательного процесса реализуется по программам: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cs="Times New Roman" w:ascii="Times New Roman" w:hAnsi="Times New Roman"/>
          <w:sz w:val="18"/>
          <w:szCs w:val="18"/>
        </w:rPr>
        <w:t>Журова Л.Е.Обучение дошкольников грамоте., Москва, 2001 (в старшей и подготовительной группе)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cs="Times New Roman" w:ascii="Times New Roman" w:hAnsi="Times New Roman"/>
          <w:sz w:val="18"/>
          <w:szCs w:val="18"/>
        </w:rPr>
        <w:t>Маханева М.Д. Подготовка к обучению грамоте детей 4-5 лет. (в средней группе).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 xml:space="preserve">Образовательная область «Художественно - эстетическое развитие» </w:t>
      </w:r>
      <w:r>
        <w:rPr>
          <w:rFonts w:eastAsia="Calibri" w:cs="Times New Roman" w:ascii="Times New Roman" w:hAnsi="Times New Roman" w:eastAsiaTheme="minorHAnsi"/>
          <w:sz w:val="18"/>
          <w:szCs w:val="18"/>
          <w:lang w:eastAsia="en-US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Разделы: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приобщение к искусству вводится со второй группы раннего возраста;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изобразительная деятельность включает «Рисование» со второй группы раннего возраста; «Лепка» со второй группы раннего возраста; «Аппликация» вводится с  младшей группы с чередование «Лепка» по одному разу в неделю; «Декоративное рисование» со средней группы; «Прикладное творчество» со старшей группы.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конструктивно-модельная деятельность вводится со второй группы раннего возраста;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музыкальная деятельность вводится со второй группы раннего возраста «Слушание», «Пение», «Музыкально-ритмические движения»; с младшей группы – «Песенное творчество», «Развитие танцевально-игрового творчества», «Игра на детских музыкальных инструментах».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 xml:space="preserve">Часть, формируемая участниками образовательного процесса реализуется по программам: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Васильева Л.Г. «Этнохудожественное развитие детей 3-4 лет» ( в младшей группе)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cs="Times New Roman" w:ascii="Times New Roman" w:hAnsi="Times New Roman"/>
          <w:sz w:val="18"/>
          <w:szCs w:val="18"/>
        </w:rPr>
        <w:t>Васильева Л.Г. «Приобщение детей 2-3 лет к народному искусству родного края»</w:t>
      </w: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 xml:space="preserve"> (во второй группе раннего возраста)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eastAsiaTheme="minorHAnsi" w:ascii="Times New Roman" w:hAnsi="Times New Roman"/>
          <w:bCs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 xml:space="preserve">5. Образовательная область «Физическое развитие» </w:t>
      </w:r>
      <w:r>
        <w:rPr>
          <w:rFonts w:eastAsia="Calibri" w:cs="Times New Roman" w:ascii="Times New Roman" w:hAnsi="Times New Roman" w:eastAsiaTheme="minorHAnsi"/>
          <w:sz w:val="18"/>
          <w:szCs w:val="18"/>
          <w:lang w:eastAsia="en-US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организма;  развитию равновесия;  координации движения; крупной и мелкой моторики рук;  а также с правильным, не наносящим ущерба организму, выполнением основных движений (ходьба, бег, мягкие прыжки, повороты в обе стороны); формирование начальных представлений о некоторых видах спорта;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жизни;  овладение его элементарными нормами и правилами (в питании, двигательном режиме, закаливании)  при формировании полезных привычек.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Разделы: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формирование начальных представлений о здоровом образе жизни вводится со второй группы раннего возраста;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- физическая культура включает подвижные игры со второй группы раннего возраста; физическая культура на улице со средней группы 1 непосредственно-образовательная деятельность.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 xml:space="preserve">Часть, формируемая участниками образовательного процесса реализуется по программам: </w:t>
      </w:r>
    </w:p>
    <w:p>
      <w:pPr>
        <w:pStyle w:val="Default"/>
        <w:numPr>
          <w:ilvl w:val="0"/>
          <w:numId w:val="5"/>
        </w:numPr>
        <w:ind w:left="426" w:hanging="0"/>
        <w:jc w:val="both"/>
        <w:rPr>
          <w:sz w:val="18"/>
          <w:szCs w:val="18"/>
        </w:rPr>
      </w:pPr>
      <w:r>
        <w:rPr>
          <w:b/>
          <w:sz w:val="18"/>
          <w:szCs w:val="18"/>
        </w:rPr>
        <w:t>Махалова И.В.</w:t>
      </w:r>
      <w:r>
        <w:rPr>
          <w:sz w:val="18"/>
          <w:szCs w:val="18"/>
        </w:rPr>
        <w:t xml:space="preserve"> Программа по приобщению детей 6-7 лет к национальным традициям физического воспитания «Родники Здоровья» (подготовительная группа).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 w:eastAsiaTheme="minorHAnsi"/>
          <w:bCs/>
          <w:sz w:val="18"/>
          <w:szCs w:val="18"/>
          <w:lang w:eastAsia="en-US"/>
        </w:rPr>
      </w:pPr>
      <w:r>
        <w:rPr>
          <w:rFonts w:eastAsia="Calibri" w:cs="Times New Roman" w:ascii="Times New Roman" w:hAnsi="Times New Roman" w:eastAsiaTheme="minorHAnsi"/>
          <w:bCs/>
          <w:sz w:val="18"/>
          <w:szCs w:val="18"/>
          <w:lang w:eastAsia="en-US"/>
        </w:rPr>
        <w:t>Таким образом, учебный план позволяет сформировать основы базовой в соответствии с возрастными и индивидуальными особенностями детей, подготовку детей к жизни в современном обществе; обеспечивает баланс разных видов активности дошкольников, культуры личности, обеспечивает всестороннее развитие психических и физических качеств.</w:t>
      </w:r>
    </w:p>
    <w:p>
      <w:pPr>
        <w:pStyle w:val="Normal"/>
        <w:spacing w:before="0" w:after="200"/>
        <w:rPr>
          <w:rFonts w:ascii="Times New Roman" w:hAnsi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276" w:right="851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0b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64565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c676f"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850b5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6456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72a8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0FA8F-3D51-4BB9-9A90-13DF1DAD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Application>LibreOffice/7.4.1.2$Windows_X86_64 LibreOffice_project/3c58a8f3a960df8bc8fd77b461821e42c061c5f0</Application>
  <AppVersion>15.0000</AppVersion>
  <Pages>5</Pages>
  <Words>1729</Words>
  <Characters>12954</Characters>
  <CharactersWithSpaces>15053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2014-11-13T05:32:00Z</dcterms:created>
  <dc:creator>user</dc:creator>
  <dc:description/>
  <dc:language>ru-RU</dc:language>
  <cp:lastModifiedBy/>
  <dcterms:modified xsi:type="dcterms:W3CDTF">2024-08-30T11:32:55Z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