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E9" w:rsidRDefault="00B07CE9" w:rsidP="00A73E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9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9"/>
        <w:gridCol w:w="170"/>
        <w:gridCol w:w="849"/>
        <w:gridCol w:w="3066"/>
      </w:tblGrid>
      <w:tr w:rsidR="00B07CE9" w:rsidRPr="00430F30" w:rsidTr="00430F30">
        <w:tc>
          <w:tcPr>
            <w:tcW w:w="5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E58" w:rsidRDefault="00A73E58" w:rsidP="00A73E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73E58">
              <w:rPr>
                <w:lang w:val="ru-RU"/>
              </w:rPr>
              <w:br/>
            </w:r>
            <w:r w:rsidRPr="00A73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оветом </w:t>
            </w:r>
          </w:p>
          <w:p w:rsidR="00B07CE9" w:rsidRPr="00430F30" w:rsidRDefault="00430F30" w:rsidP="00A73E5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«Кошки-Куликеевская СОШ»</w:t>
            </w:r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430F30">
            <w:pPr>
              <w:spacing w:before="0" w:beforeAutospacing="0" w:after="0" w:afterAutospacing="0"/>
              <w:rPr>
                <w:lang w:val="ru-RU"/>
              </w:rPr>
            </w:pPr>
            <w:r w:rsidRPr="00A73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A73E58">
              <w:rPr>
                <w:lang w:val="ru-RU"/>
              </w:rPr>
              <w:br/>
            </w:r>
            <w:r w:rsidRPr="00A73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A73E58">
              <w:rPr>
                <w:lang w:val="ru-RU"/>
              </w:rPr>
              <w:br/>
            </w:r>
            <w:r w:rsidR="00430F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МБОУ «Кошки-Куликеевская СОШ» </w:t>
            </w:r>
            <w:r w:rsidR="00430F3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07CE9" w:rsidRPr="00430F30" w:rsidTr="00430F30">
        <w:tc>
          <w:tcPr>
            <w:tcW w:w="56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spacing w:before="0" w:beforeAutospacing="0" w:after="0" w:afterAutospacing="0"/>
              <w:rPr>
                <w:lang w:val="ru-RU"/>
              </w:rPr>
            </w:pPr>
            <w:r w:rsidRPr="00A73E5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Pr="00A73E5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которым согласован документ)</w:t>
            </w:r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A73E5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EE1985" w:rsidRDefault="00430F30" w:rsidP="00A73E5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73E58" w:rsidRP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E1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07CE9" w:rsidRPr="00430F30" w:rsidTr="00430F30">
        <w:tc>
          <w:tcPr>
            <w:tcW w:w="5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430F30" w:rsidRDefault="00A73E58" w:rsidP="00A73E58">
            <w:pPr>
              <w:spacing w:before="0" w:beforeAutospacing="0" w:after="0" w:afterAutospacing="0"/>
              <w:rPr>
                <w:lang w:val="ru-RU"/>
              </w:rPr>
            </w:pPr>
            <w:r w:rsidRP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EE1985" w:rsidRP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</w:t>
            </w:r>
            <w:r w:rsidR="00EE1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430F30" w:rsidRDefault="00B07CE9" w:rsidP="00A73E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430F30" w:rsidRDefault="00B07CE9" w:rsidP="00A73E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430F30" w:rsidRDefault="00A73E58" w:rsidP="00A73E58">
            <w:pPr>
              <w:spacing w:before="0" w:beforeAutospacing="0" w:after="0" w:afterAutospacing="0"/>
              <w:rPr>
                <w:lang w:val="ru-RU"/>
              </w:rPr>
            </w:pPr>
            <w:r w:rsidRPr="00430F3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(дата)</w:t>
            </w:r>
          </w:p>
        </w:tc>
      </w:tr>
    </w:tbl>
    <w:p w:rsidR="00B07CE9" w:rsidRPr="00A73E58" w:rsidRDefault="00A73E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73E58">
        <w:rPr>
          <w:lang w:val="ru-RU"/>
        </w:rPr>
        <w:br/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A73E58">
        <w:rPr>
          <w:lang w:val="ru-RU"/>
        </w:rPr>
        <w:br/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1.1. Положение 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A73E58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– Положение) МБОУ «Кошки-Куликеевская СОШ» 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(далее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372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370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371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письма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устава</w:t>
      </w:r>
      <w:r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>
        <w:rPr>
          <w:rFonts w:cstheme="minorHAnsi"/>
          <w:color w:val="000000"/>
          <w:sz w:val="24"/>
          <w:szCs w:val="24"/>
          <w:lang w:val="ru-RU"/>
        </w:rPr>
        <w:t>«Кошки-Куликеевская СОШ»</w:t>
      </w:r>
      <w:r w:rsidRPr="00A73E58">
        <w:rPr>
          <w:rFonts w:cstheme="minorHAnsi"/>
          <w:color w:val="000000"/>
          <w:sz w:val="24"/>
          <w:szCs w:val="24"/>
          <w:lang w:val="ru-RU"/>
        </w:rPr>
        <w:t>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аттестации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результатов, предусмотренных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образовательной программой;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текущей оценки.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этапы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2.6. Основным предметом текущей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 направляет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усилия обучающегося, включает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его в самостоятельную </w:t>
      </w: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оценочную деятельность. Диагностическая текущая оценка способствует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(приложение 1).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2.11. Обобщенный критерий «применение» включает:</w:t>
      </w:r>
    </w:p>
    <w:p w:rsidR="00B07CE9" w:rsidRPr="00A73E58" w:rsidRDefault="00A73E58" w:rsidP="00A73E58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B07CE9" w:rsidRPr="00A73E58" w:rsidRDefault="00A73E58" w:rsidP="00A73E58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применять предметные знания и умения во внеучебной ситуации, в реальной жизни.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безотметочной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форме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(зачетная система):</w:t>
      </w:r>
      <w:r w:rsidRPr="00A73E58">
        <w:rPr>
          <w:rFonts w:cstheme="minorHAnsi"/>
          <w:color w:val="000000"/>
          <w:sz w:val="24"/>
          <w:szCs w:val="24"/>
        </w:rPr>
        <w:t> 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2.18. Частью текущего контроля является тематическое оценивание.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2.19. Тематическое оценивание –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курса, модуля.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2.20. Целью тематического оценивания является: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результатов по теме;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 Тематическое оценивание обеспечивает: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2.23.1. Обучающемуся:</w:t>
      </w:r>
    </w:p>
    <w:p w:rsidR="00B07CE9" w:rsidRPr="00A73E58" w:rsidRDefault="00A73E58" w:rsidP="00A73E58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2.23.2. Педагогическому работнику:</w:t>
      </w:r>
    </w:p>
    <w:p w:rsidR="00B07CE9" w:rsidRPr="00A73E58" w:rsidRDefault="00A73E58" w:rsidP="00A73E58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 рамках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изучения каждой темы;</w:t>
      </w:r>
    </w:p>
    <w:p w:rsidR="00B07CE9" w:rsidRPr="00A73E58" w:rsidRDefault="00A73E58" w:rsidP="00A73E58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2.27. Не допускается проведение:</w:t>
      </w:r>
    </w:p>
    <w:p w:rsidR="00B07CE9" w:rsidRPr="00A73E58" w:rsidRDefault="00A73E58" w:rsidP="00A73E58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07CE9" w:rsidRPr="00A73E58" w:rsidRDefault="00A73E58" w:rsidP="00A73E58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</w:t>
      </w:r>
      <w:r>
        <w:rPr>
          <w:rFonts w:cstheme="minorHAnsi"/>
          <w:color w:val="000000"/>
          <w:sz w:val="24"/>
          <w:szCs w:val="24"/>
          <w:lang w:val="ru-RU"/>
        </w:rPr>
        <w:t>ый период. О</w:t>
      </w:r>
      <w:r w:rsidRPr="00A73E58">
        <w:rPr>
          <w:rFonts w:cstheme="minorHAnsi"/>
          <w:color w:val="000000"/>
          <w:sz w:val="24"/>
          <w:szCs w:val="24"/>
          <w:lang w:val="ru-RU"/>
        </w:rPr>
        <w:t>ценивание происходит по четвертям.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тематической письменной работы.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3.1. Промежуточная аттестация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– это подтверждение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3.2. Промежуточную аттестацию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форме самообразования (экстерны).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3.3. Промежуточная аттестация обучающихся проводится в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формах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определенных учебным планом, в сроки, утвержденные календарным учебным графиком, и в порядке, установленном пунктом 3.6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настоящего Положения.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м(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и) планом(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ами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)).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1-го класса.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действий.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;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обучающегося, освоившего ООП НОО;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3.5.7.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представляет собой процедуру оценки динамики учебной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3.5.8. В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Отбор работ для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3.5.9.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 xml:space="preserve">Результаты обучающегося, представленные в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3.5.10. В характеристике обучающегося:</w:t>
      </w:r>
    </w:p>
    <w:p w:rsidR="00B07CE9" w:rsidRPr="00A73E58" w:rsidRDefault="00A73E58" w:rsidP="00A73E58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B07CE9" w:rsidRPr="00A73E58" w:rsidRDefault="00A73E58" w:rsidP="00A73E58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обучения по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образовательным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обучения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образовательным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: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3.6.1.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 на 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уровне ООО и НОО в МБОУ «Кошки-Куликеевская СОШ»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подразделяется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:</w:t>
      </w:r>
    </w:p>
    <w:p w:rsidR="00B07CE9" w:rsidRPr="00A73E58" w:rsidRDefault="00C43C58" w:rsidP="00A73E58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четвертную </w:t>
      </w:r>
      <w:r w:rsidR="00A73E58" w:rsidRPr="00A73E58">
        <w:rPr>
          <w:rFonts w:cstheme="minorHAnsi"/>
          <w:color w:val="000000"/>
          <w:sz w:val="24"/>
          <w:szCs w:val="24"/>
          <w:lang w:val="ru-RU"/>
        </w:rPr>
        <w:t>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B07CE9" w:rsidRPr="00A73E58" w:rsidRDefault="00A73E58" w:rsidP="00A73E58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годовую аттестацию — оценка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качества усвоения учащихся всего объёма содержания учебного предмета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за учебный год.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3.6.2.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Промежуточная аттестация осуществляет</w:t>
      </w:r>
      <w:r w:rsidR="00C43C58">
        <w:rPr>
          <w:rFonts w:cstheme="minorHAnsi"/>
          <w:color w:val="000000"/>
          <w:sz w:val="24"/>
          <w:szCs w:val="24"/>
          <w:lang w:val="ru-RU"/>
        </w:rPr>
        <w:t>ся по четвертям для учащихся 2-11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клас</w:t>
      </w:r>
      <w:r w:rsidR="00C43C58">
        <w:rPr>
          <w:rFonts w:cstheme="minorHAnsi"/>
          <w:color w:val="000000"/>
          <w:sz w:val="24"/>
          <w:szCs w:val="24"/>
          <w:lang w:val="ru-RU"/>
        </w:rPr>
        <w:t>сов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3.6.3. Отметки учащихс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я Школы за четверть,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год должны быть обоснованы (то есть соответствовать успеваемости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в оцениваемый период). При спорной 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четвертной,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 отсутствии необходимого количества отметок при вы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ведении четвертных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/а» — не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аттестован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3.6.4.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внеучебные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форме учета личностных достижений или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3.6.5. Промежуточная аттестация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3.6.6. Обучающиеся,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прошедшие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одной недели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3.7.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исполнение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3.6.6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color w:val="000000"/>
          <w:sz w:val="24"/>
          <w:szCs w:val="24"/>
        </w:rPr>
        <w:t>трагические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обстоятельства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семейного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характера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всероссийском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Гражданским кодексом.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учебно-воспитательной работе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не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чем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порядок проведения) доводится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информационном </w:t>
      </w: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стенде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вестибюле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школы, учебном кабинете,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официальном сайте школы не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чем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настоящим Положением (раздел 9).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других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образовательных организациях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ическое четвертных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B07CE9" w:rsidRPr="00C43C58" w:rsidRDefault="00A73E58" w:rsidP="00A73E58">
      <w:pPr>
        <w:jc w:val="both"/>
        <w:rPr>
          <w:rFonts w:cstheme="minorHAnsi"/>
          <w:color w:val="000000"/>
          <w:sz w:val="24"/>
          <w:szCs w:val="24"/>
          <w:highlight w:val="yellow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</w:t>
      </w: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.13.</w:t>
      </w:r>
      <w:r w:rsidRPr="00C43C58">
        <w:rPr>
          <w:rFonts w:cstheme="minorHAnsi"/>
          <w:color w:val="000000"/>
          <w:sz w:val="24"/>
          <w:szCs w:val="24"/>
          <w:highlight w:val="yellow"/>
        </w:rPr>
        <w:t> </w:t>
      </w: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безотметочной</w:t>
      </w:r>
      <w:proofErr w:type="spellEnd"/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форме (зачетная система):</w:t>
      </w:r>
    </w:p>
    <w:p w:rsidR="00B07CE9" w:rsidRPr="00C43C58" w:rsidRDefault="00A73E58" w:rsidP="00A73E58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highlight w:val="yellow"/>
          <w:lang w:val="ru-RU"/>
        </w:rPr>
      </w:pP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с 2-го класса по 7-й класс по предмету «Изобразительное искусство»;</w:t>
      </w:r>
    </w:p>
    <w:p w:rsidR="00B07CE9" w:rsidRPr="00C43C58" w:rsidRDefault="00A73E58" w:rsidP="00A73E58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highlight w:val="yellow"/>
          <w:lang w:val="ru-RU"/>
        </w:rPr>
      </w:pP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с 2-го класса по 8-й класс по предмету «Музыка»;</w:t>
      </w:r>
    </w:p>
    <w:p w:rsidR="00B07CE9" w:rsidRPr="00C43C58" w:rsidRDefault="00A73E58" w:rsidP="00A73E58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  <w:highlight w:val="yellow"/>
          <w:lang w:val="ru-RU"/>
        </w:rPr>
      </w:pP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обучающихся</w:t>
      </w:r>
      <w:proofErr w:type="gramEnd"/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, относящихся к специальной медицинской группе для занятия физической культурой.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3C58">
        <w:rPr>
          <w:rFonts w:cstheme="minorHAnsi"/>
          <w:color w:val="000000"/>
          <w:sz w:val="24"/>
          <w:szCs w:val="24"/>
          <w:highlight w:val="yellow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3.16. Промежуточная аттестация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осуществляется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отметку </w:t>
      </w: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3.18.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допускается проведение:</w:t>
      </w:r>
    </w:p>
    <w:p w:rsidR="00B07CE9" w:rsidRPr="00A73E58" w:rsidRDefault="00A73E58" w:rsidP="00A73E58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07CE9" w:rsidRDefault="00A73E58" w:rsidP="00A73E58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F417B" w:rsidRPr="00CF417B" w:rsidRDefault="00CF417B" w:rsidP="00CF417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3.19.</w:t>
      </w:r>
      <w:r w:rsidRPr="00CF417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F417B">
        <w:rPr>
          <w:color w:val="000000"/>
          <w:sz w:val="24"/>
          <w:szCs w:val="24"/>
          <w:lang w:val="ru-RU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работ. </w:t>
      </w:r>
    </w:p>
    <w:p w:rsidR="00CF417B" w:rsidRPr="00CF417B" w:rsidRDefault="00CF417B" w:rsidP="00CF417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F417B">
        <w:rPr>
          <w:color w:val="000000"/>
          <w:sz w:val="24"/>
          <w:szCs w:val="24"/>
          <w:lang w:val="ru-RU"/>
        </w:rPr>
        <w:t xml:space="preserve">      Формы промежуточной аттестации для учебных предметов - среднее арифметическое накопленных текущих оценок и результатов выполнения тематических проверочных работ – годовая оценка успеваемости (ГОУ*).</w:t>
      </w:r>
    </w:p>
    <w:p w:rsidR="00CF417B" w:rsidRPr="00A73E58" w:rsidRDefault="00CF417B" w:rsidP="00CF417B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с ОВЗ включают: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мнестических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A73E58">
        <w:rPr>
          <w:rFonts w:cstheme="minorHAnsi"/>
          <w:color w:val="000000"/>
          <w:sz w:val="24"/>
          <w:szCs w:val="24"/>
        </w:rPr>
        <w:t> 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многозвеньевой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поэтапность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пошаговость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при необходимости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  <w:proofErr w:type="gramEnd"/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комиссии.</w:t>
      </w:r>
    </w:p>
    <w:p w:rsidR="00B07CE9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CF417B" w:rsidRPr="00A73E58" w:rsidRDefault="00CF417B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5. РЕЗУЛЬТАТЫ ПРОМЕЖУТОЧНОЙ АТТЕСТАЦИИ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5.2.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двух дней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5.5.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ч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. 2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ст. 58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273-ФЗ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5.7. Условный перевод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следующий класс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прошедших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установленные сроки.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ОБУЧАЮЩИМИСЯ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имеют право: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пройти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более двух раз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пределах одного года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включая время болезни обучающегося (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ч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. 5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ст. 58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273-ФЗ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консультации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информацию о работе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комиссий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помощь педагога-психолога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других специалистов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6.3. Школа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обязана: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второй раз).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обязаны: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обучающемуся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нести ответственность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второй раз в школе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создается соответствующая комиссия.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Комиссия формируется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комиссию входит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менее трех человек.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6.7. Обучающиеся,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года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момента 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появления,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усмотрению 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основании 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заявления могут быть: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color w:val="000000"/>
          <w:sz w:val="24"/>
          <w:szCs w:val="24"/>
        </w:rPr>
        <w:t>оставлены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на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повторное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обучение</w:t>
      </w:r>
      <w:proofErr w:type="spellEnd"/>
      <w:r w:rsidRPr="00A73E58">
        <w:rPr>
          <w:rFonts w:cstheme="minorHAnsi"/>
          <w:color w:val="000000"/>
          <w:sz w:val="24"/>
          <w:szCs w:val="24"/>
        </w:rPr>
        <w:t>;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АООП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комиссии (ПМПК);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(в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пределах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осваиваемой образовательной программы)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порядке, установленном положением об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, ОСТАВЛЕННЫХ НА ПОВТОРНОЕ ОБУЧЕНИЕ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7.1. Контроль успеваемости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  <w:r w:rsidR="00C43C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proofErr w:type="gramStart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, НАХОДЯЩИХСЯ НА ДЛИТЕЛЬНОМ ЛЕЧЕНИИ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от 04.04.2023 № 232/551 и № 233/552.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="00C43C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>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Промежуточная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 к настоящему Положению.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B07CE9" w:rsidRPr="00A73E58" w:rsidRDefault="00A73E58" w:rsidP="00A73E58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07CE9" w:rsidRPr="00A73E58" w:rsidRDefault="00A73E58" w:rsidP="00A73E58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9.16.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 ПРОМЕЖУТОЧНОЙАТТЕСТАЦИИ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A73E58">
        <w:rPr>
          <w:rFonts w:cstheme="minorHAnsi"/>
          <w:color w:val="000000"/>
          <w:sz w:val="24"/>
          <w:szCs w:val="24"/>
        </w:rPr>
        <w:t>o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нлай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н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-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 (или)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офлайн-режиме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10.2.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использовать электронные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(цифровые) образовательные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ресурсы, являющиеся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учебно-методическими материалами (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мультимедийные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ИКОП «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»/</w:t>
      </w:r>
      <w:r w:rsidRPr="00A73E58">
        <w:rPr>
          <w:rFonts w:cstheme="minorHAnsi"/>
          <w:color w:val="000000"/>
          <w:sz w:val="24"/>
          <w:szCs w:val="24"/>
        </w:rPr>
        <w:t>VK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Мессенджер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 учащихся.</w:t>
      </w:r>
    </w:p>
    <w:p w:rsidR="00B07CE9" w:rsidRPr="00A73E58" w:rsidRDefault="00A73E58" w:rsidP="00A73E58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Описание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форм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текущего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1"/>
        <w:gridCol w:w="7398"/>
      </w:tblGrid>
      <w:tr w:rsidR="00B07CE9" w:rsidRPr="00A73E58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Ведение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комплексные географические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знания </w:t>
            </w: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Грамматическое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техники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Домашнее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Опрос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этом являются полнота, аргументированность, связность и последовательность изложения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Решение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Словарный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Смысловое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B07CE9" w:rsidRPr="00A73E58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Техника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являются скорость чтения, правильность и осознанность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Учебное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B07CE9" w:rsidRPr="00430F30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4"/>
        <w:gridCol w:w="6625"/>
      </w:tblGrid>
      <w:tr w:rsidR="00B07CE9" w:rsidRPr="00A73E58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198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  <w:p w:rsidR="009B2205" w:rsidRDefault="009B2205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B220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родном (чувашском) языке</w:t>
            </w:r>
          </w:p>
          <w:p w:rsidR="009B2205" w:rsidRPr="009B2205" w:rsidRDefault="009B2205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B220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родном (татарском) языке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9B22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1985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B2205" w:rsidRDefault="009B2205" w:rsidP="009B22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(чувашский) язык</w:t>
            </w:r>
          </w:p>
          <w:p w:rsidR="009B2205" w:rsidRPr="009B2205" w:rsidRDefault="009B2205" w:rsidP="009B220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07CE9" w:rsidRPr="00430F30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B07CE9" w:rsidRPr="00EE1985" w:rsidRDefault="00B07CE9" w:rsidP="00A73E58">
      <w:pPr>
        <w:rPr>
          <w:rFonts w:cstheme="minorHAnsi"/>
          <w:color w:val="000000"/>
          <w:sz w:val="24"/>
          <w:szCs w:val="24"/>
          <w:lang w:val="ru-RU"/>
        </w:rPr>
      </w:pPr>
    </w:p>
    <w:p w:rsidR="00B07CE9" w:rsidRPr="00EE1985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07CE9" w:rsidRPr="00A73E58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Форма справки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B07CE9" w:rsidRPr="00A73E58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4"/>
        <w:gridCol w:w="1563"/>
        <w:gridCol w:w="2149"/>
        <w:gridCol w:w="1250"/>
        <w:gridCol w:w="1879"/>
      </w:tblGrid>
      <w:tr w:rsidR="00B07CE9" w:rsidRPr="00430F30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B07CE9" w:rsidRPr="00A73E58" w:rsidTr="006724CF">
        <w:tc>
          <w:tcPr>
            <w:tcW w:w="13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период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2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189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B07CE9" w:rsidRPr="00430F30" w:rsidTr="006724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16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B07CE9" w:rsidRPr="00430F30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Pr="00A73E58">
              <w:rPr>
                <w:rFonts w:cstheme="minorHAnsi"/>
                <w:sz w:val="24"/>
                <w:szCs w:val="24"/>
              </w:rPr>
              <w:br/>
            </w: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6724CF" w:rsidP="00A73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A73E58" w:rsidRPr="00A73E58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7CE9" w:rsidRPr="00A73E58" w:rsidRDefault="00A73E58" w:rsidP="00A73E58">
      <w:pPr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2"/>
        <w:gridCol w:w="504"/>
        <w:gridCol w:w="1072"/>
        <w:gridCol w:w="156"/>
        <w:gridCol w:w="3485"/>
      </w:tblGrid>
      <w:tr w:rsidR="00B07CE9" w:rsidRPr="00A73E58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Отсутствует</w:t>
            </w:r>
            <w:proofErr w:type="spellEnd"/>
          </w:p>
          <w:p w:rsid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A73E58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07CE9" w:rsidRPr="00A73E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B07CE9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1B4C8D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Р.А. Портнов</w:t>
            </w:r>
          </w:p>
        </w:tc>
      </w:tr>
    </w:tbl>
    <w:p w:rsidR="00B07CE9" w:rsidRPr="00A73E58" w:rsidRDefault="00A73E58" w:rsidP="00A73E58">
      <w:pPr>
        <w:rPr>
          <w:rFonts w:cstheme="minorHAnsi"/>
          <w:color w:val="000000"/>
          <w:sz w:val="24"/>
          <w:szCs w:val="24"/>
        </w:rPr>
      </w:pPr>
      <w:proofErr w:type="gramStart"/>
      <w:r w:rsidRPr="00A73E58">
        <w:rPr>
          <w:rFonts w:cstheme="minorHAnsi"/>
          <w:color w:val="000000"/>
          <w:sz w:val="24"/>
          <w:szCs w:val="24"/>
        </w:rPr>
        <w:t>М.П.</w:t>
      </w:r>
      <w:proofErr w:type="gramEnd"/>
    </w:p>
    <w:sectPr w:rsidR="00B07CE9" w:rsidRPr="00A73E58" w:rsidSect="00A73E58">
      <w:pgSz w:w="11907" w:h="1683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47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F4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56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6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1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97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64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E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82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45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F3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2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D1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5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16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D52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31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833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8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  <w:num w:numId="17">
    <w:abstractNumId w:val="17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4C8D"/>
    <w:rsid w:val="002D33B1"/>
    <w:rsid w:val="002D3591"/>
    <w:rsid w:val="003514A0"/>
    <w:rsid w:val="00430F30"/>
    <w:rsid w:val="00432909"/>
    <w:rsid w:val="004F7E17"/>
    <w:rsid w:val="005A05CE"/>
    <w:rsid w:val="00653AF6"/>
    <w:rsid w:val="006724CF"/>
    <w:rsid w:val="009B2205"/>
    <w:rsid w:val="00A44F4D"/>
    <w:rsid w:val="00A73E58"/>
    <w:rsid w:val="00B07CE9"/>
    <w:rsid w:val="00B73A5A"/>
    <w:rsid w:val="00C43C58"/>
    <w:rsid w:val="00CF417B"/>
    <w:rsid w:val="00E438A1"/>
    <w:rsid w:val="00EE198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4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ККСОШ Учитель</cp:lastModifiedBy>
  <cp:revision>7</cp:revision>
  <dcterms:created xsi:type="dcterms:W3CDTF">2011-11-02T04:15:00Z</dcterms:created>
  <dcterms:modified xsi:type="dcterms:W3CDTF">2024-11-22T05:55:00Z</dcterms:modified>
</cp:coreProperties>
</file>