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35" w:rsidRPr="00047D6F" w:rsidRDefault="00047D6F" w:rsidP="00047D6F">
      <w:pPr>
        <w:jc w:val="center"/>
        <w:rPr>
          <w:b/>
          <w:sz w:val="28"/>
          <w:szCs w:val="28"/>
        </w:rPr>
      </w:pPr>
      <w:r w:rsidRPr="00047D6F">
        <w:rPr>
          <w:b/>
          <w:sz w:val="28"/>
          <w:szCs w:val="28"/>
        </w:rPr>
        <w:t>Федеральный список экстремистских материалов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7513"/>
        <w:gridCol w:w="1276"/>
      </w:tblGrid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Материал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5433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Книга Анастасии </w:t>
            </w:r>
            <w:proofErr w:type="gramStart"/>
            <w:r>
              <w:rPr>
                <w:color w:val="000000"/>
                <w:sz w:val="21"/>
                <w:szCs w:val="21"/>
              </w:rPr>
              <w:t>Новых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«</w:t>
            </w:r>
            <w:proofErr w:type="spellStart"/>
            <w:r>
              <w:rPr>
                <w:color w:val="000000"/>
                <w:sz w:val="21"/>
                <w:szCs w:val="21"/>
              </w:rPr>
              <w:t>Сэнсэй-IV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color w:val="000000"/>
                <w:sz w:val="21"/>
                <w:szCs w:val="21"/>
              </w:rPr>
              <w:t>Исконный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Шамбалы» ‒ М.: </w:t>
            </w:r>
            <w:proofErr w:type="spellStart"/>
            <w:r>
              <w:rPr>
                <w:color w:val="000000"/>
                <w:sz w:val="21"/>
                <w:szCs w:val="21"/>
              </w:rPr>
              <w:t>Аллатра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июля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5434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Электронная версия книги Анастасии </w:t>
            </w:r>
            <w:proofErr w:type="gramStart"/>
            <w:r>
              <w:rPr>
                <w:color w:val="000000"/>
                <w:sz w:val="21"/>
                <w:szCs w:val="21"/>
              </w:rPr>
              <w:t>Новых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«</w:t>
            </w:r>
            <w:proofErr w:type="spellStart"/>
            <w:r>
              <w:rPr>
                <w:color w:val="000000"/>
                <w:sz w:val="21"/>
                <w:szCs w:val="21"/>
              </w:rPr>
              <w:t>Сэнсэй-IV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Исконный Шамбалы», </w:t>
            </w:r>
            <w:proofErr w:type="gramStart"/>
            <w:r>
              <w:rPr>
                <w:color w:val="000000"/>
                <w:sz w:val="21"/>
                <w:szCs w:val="21"/>
              </w:rPr>
              <w:t>начинающаяся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текстом «Пролог Голос утих. Но не прошло и несколько мгновений, как…» и </w:t>
            </w:r>
            <w:proofErr w:type="gramStart"/>
            <w:r>
              <w:rPr>
                <w:color w:val="000000"/>
                <w:sz w:val="21"/>
                <w:szCs w:val="21"/>
              </w:rPr>
              <w:t>заканчивающаяся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текстом: «Но только для тех, кто своими мыслями и делами обретает Высшее, Конец становится Началом.» (решение Центрального районного суда </w:t>
            </w:r>
            <w:proofErr w:type="gramStart"/>
            <w:r>
              <w:rPr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color w:val="000000"/>
                <w:sz w:val="21"/>
                <w:szCs w:val="21"/>
              </w:rPr>
              <w:t>. Тюмени от 29.05.2024);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июля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5435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Музыкальное произведение – </w:t>
            </w:r>
            <w:proofErr w:type="spellStart"/>
            <w:r>
              <w:rPr>
                <w:color w:val="000000"/>
                <w:sz w:val="21"/>
                <w:szCs w:val="21"/>
              </w:rPr>
              <w:t>аудиофайл</w:t>
            </w:r>
            <w:proofErr w:type="spellEnd"/>
            <w:r>
              <w:rPr>
                <w:color w:val="000000"/>
                <w:sz w:val="21"/>
                <w:szCs w:val="21"/>
              </w:rPr>
              <w:t>, обозначенный как «</w:t>
            </w:r>
            <w:proofErr w:type="spellStart"/>
            <w:r>
              <w:rPr>
                <w:color w:val="000000"/>
                <w:sz w:val="21"/>
                <w:szCs w:val="21"/>
              </w:rPr>
              <w:t>mshdrgpmw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>
              <w:rPr>
                <w:color w:val="000000"/>
                <w:sz w:val="21"/>
                <w:szCs w:val="21"/>
              </w:rPr>
              <w:t>ВКонтакте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» под псевдонимом «Артур </w:t>
            </w:r>
            <w:proofErr w:type="spellStart"/>
            <w:r>
              <w:rPr>
                <w:color w:val="000000"/>
                <w:sz w:val="21"/>
                <w:szCs w:val="21"/>
              </w:rPr>
              <w:t>Ханмурзаев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» (решение </w:t>
            </w:r>
            <w:proofErr w:type="spellStart"/>
            <w:r>
              <w:rPr>
                <w:color w:val="000000"/>
                <w:sz w:val="21"/>
                <w:szCs w:val="21"/>
              </w:rPr>
              <w:t>Балашихинского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городского суда Московской области от 22.03.2023);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июля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5436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Музыкальное произведение – </w:t>
            </w:r>
            <w:proofErr w:type="spellStart"/>
            <w:r>
              <w:rPr>
                <w:color w:val="000000"/>
                <w:sz w:val="21"/>
                <w:szCs w:val="21"/>
              </w:rPr>
              <w:t>аудиофайл</w:t>
            </w:r>
            <w:proofErr w:type="spellEnd"/>
            <w:r>
              <w:rPr>
                <w:color w:val="000000"/>
                <w:sz w:val="21"/>
                <w:szCs w:val="21"/>
              </w:rPr>
              <w:t>, обозначенный как «</w:t>
            </w:r>
            <w:proofErr w:type="spellStart"/>
            <w:r>
              <w:rPr>
                <w:color w:val="000000"/>
                <w:sz w:val="21"/>
                <w:szCs w:val="21"/>
              </w:rPr>
              <w:t>mshdrgpmw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>
              <w:rPr>
                <w:color w:val="000000"/>
                <w:sz w:val="21"/>
                <w:szCs w:val="21"/>
              </w:rPr>
              <w:t>ВКонтакте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» под псевдонимом «Артур </w:t>
            </w:r>
            <w:proofErr w:type="spellStart"/>
            <w:r>
              <w:rPr>
                <w:color w:val="000000"/>
                <w:sz w:val="21"/>
                <w:szCs w:val="21"/>
              </w:rPr>
              <w:t>Ханмурзаев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» (решение </w:t>
            </w:r>
            <w:proofErr w:type="spellStart"/>
            <w:r>
              <w:rPr>
                <w:color w:val="000000"/>
                <w:sz w:val="21"/>
                <w:szCs w:val="21"/>
              </w:rPr>
              <w:t>Балашихинского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городского суда Московской области от 22.03.2023);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июля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5437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>
              <w:rPr>
                <w:color w:val="000000"/>
                <w:sz w:val="21"/>
                <w:szCs w:val="21"/>
              </w:rPr>
              <w:t>Колумбайн</w:t>
            </w:r>
            <w:proofErr w:type="spellEnd"/>
            <w:r>
              <w:rPr>
                <w:color w:val="000000"/>
                <w:sz w:val="21"/>
                <w:szCs w:val="21"/>
              </w:rPr>
              <w:t>», размещенная музыкальным исполнителем под творческим псевдонимом «</w:t>
            </w:r>
            <w:proofErr w:type="spellStart"/>
            <w:r>
              <w:rPr>
                <w:color w:val="000000"/>
                <w:sz w:val="21"/>
                <w:szCs w:val="21"/>
              </w:rPr>
              <w:t>SkinnyX</w:t>
            </w:r>
            <w:proofErr w:type="spellEnd"/>
            <w:r>
              <w:rPr>
                <w:color w:val="000000"/>
                <w:sz w:val="21"/>
                <w:szCs w:val="21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>
              <w:rPr>
                <w:color w:val="000000"/>
                <w:sz w:val="21"/>
                <w:szCs w:val="21"/>
              </w:rPr>
              <w:t>Колумбайн</w:t>
            </w:r>
            <w:proofErr w:type="spellEnd"/>
            <w:r>
              <w:rPr>
                <w:color w:val="000000"/>
                <w:sz w:val="21"/>
                <w:szCs w:val="21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августа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5438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Аудиозапись и текст песни группы </w:t>
            </w:r>
            <w:proofErr w:type="spellStart"/>
            <w:r>
              <w:rPr>
                <w:color w:val="000000"/>
                <w:sz w:val="21"/>
                <w:szCs w:val="21"/>
              </w:rPr>
              <w:t>Warriors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Zion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>
              <w:rPr>
                <w:color w:val="000000"/>
                <w:sz w:val="21"/>
                <w:szCs w:val="21"/>
              </w:rPr>
              <w:t>Zаградотряд</w:t>
            </w:r>
            <w:proofErr w:type="spellEnd"/>
            <w:r>
              <w:rPr>
                <w:color w:val="000000"/>
                <w:sz w:val="21"/>
                <w:szCs w:val="21"/>
              </w:rPr>
              <w:t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«..</w:t>
            </w:r>
            <w:proofErr w:type="gramEnd"/>
            <w:r>
              <w:rPr>
                <w:color w:val="000000"/>
                <w:sz w:val="21"/>
                <w:szCs w:val="21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 августа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5439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>
              <w:rPr>
                <w:color w:val="000000"/>
                <w:sz w:val="21"/>
                <w:szCs w:val="21"/>
              </w:rPr>
              <w:t>Warriors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Zion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названием «</w:t>
            </w:r>
            <w:proofErr w:type="spellStart"/>
            <w:r>
              <w:rPr>
                <w:color w:val="000000"/>
                <w:sz w:val="21"/>
                <w:szCs w:val="21"/>
              </w:rPr>
              <w:t>Могилизация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>
              <w:rPr>
                <w:color w:val="000000"/>
                <w:sz w:val="21"/>
                <w:szCs w:val="21"/>
              </w:rPr>
              <w:t>русни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…» и заканчивается словами «Все на </w:t>
            </w:r>
            <w:proofErr w:type="spellStart"/>
            <w:r>
              <w:rPr>
                <w:color w:val="000000"/>
                <w:sz w:val="21"/>
                <w:szCs w:val="21"/>
              </w:rPr>
              <w:t>могилизацию</w:t>
            </w:r>
            <w:proofErr w:type="spellEnd"/>
            <w:r>
              <w:rPr>
                <w:color w:val="000000"/>
                <w:sz w:val="21"/>
                <w:szCs w:val="21"/>
              </w:rPr>
              <w:t>!» (решение Санкт-Петербургского городского суда от 30.05.2024);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 августа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5440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</w:t>
            </w:r>
            <w:r>
              <w:rPr>
                <w:color w:val="000000"/>
                <w:sz w:val="21"/>
                <w:szCs w:val="21"/>
              </w:rPr>
              <w:lastRenderedPageBreak/>
              <w:t>27.06.2024);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28 августа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5441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Музыкальная композиция «Орки», размещенная исполнителем Эдуардом </w:t>
            </w:r>
            <w:proofErr w:type="spellStart"/>
            <w:r>
              <w:rPr>
                <w:color w:val="000000"/>
                <w:sz w:val="21"/>
                <w:szCs w:val="21"/>
              </w:rPr>
              <w:t>Выграновским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под творческим псевдонимом «</w:t>
            </w:r>
            <w:proofErr w:type="spellStart"/>
            <w:r>
              <w:rPr>
                <w:color w:val="000000"/>
                <w:sz w:val="21"/>
                <w:szCs w:val="21"/>
              </w:rPr>
              <w:t>Скруджи</w:t>
            </w:r>
            <w:proofErr w:type="spellEnd"/>
            <w:r>
              <w:rPr>
                <w:color w:val="000000"/>
                <w:sz w:val="21"/>
                <w:szCs w:val="21"/>
              </w:rPr>
              <w:t>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сентября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5442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>
              <w:rPr>
                <w:color w:val="000000"/>
                <w:sz w:val="21"/>
                <w:szCs w:val="21"/>
              </w:rPr>
              <w:t>Arise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Belgorod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сентября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5443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Информационный материал – книга «</w:t>
            </w:r>
            <w:proofErr w:type="spellStart"/>
            <w:r>
              <w:rPr>
                <w:color w:val="000000"/>
                <w:sz w:val="21"/>
                <w:szCs w:val="21"/>
              </w:rPr>
              <w:t>Жадання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фронту.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Позивний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</w:t>
            </w:r>
            <w:proofErr w:type="spellStart"/>
            <w:r>
              <w:rPr>
                <w:color w:val="000000"/>
                <w:sz w:val="21"/>
                <w:szCs w:val="21"/>
              </w:rPr>
              <w:t>Вирiй</w:t>
            </w:r>
            <w:proofErr w:type="spellEnd"/>
            <w:r>
              <w:rPr>
                <w:color w:val="000000"/>
                <w:sz w:val="21"/>
                <w:szCs w:val="21"/>
              </w:rPr>
              <w:t>»» («Вожделение фронта.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00000"/>
                <w:sz w:val="21"/>
                <w:szCs w:val="21"/>
              </w:rPr>
              <w:t>Позывной «</w:t>
            </w:r>
            <w:proofErr w:type="spellStart"/>
            <w:r>
              <w:rPr>
                <w:color w:val="000000"/>
                <w:sz w:val="21"/>
                <w:szCs w:val="21"/>
              </w:rPr>
              <w:t>Ирий</w:t>
            </w:r>
            <w:proofErr w:type="spellEnd"/>
            <w:r>
              <w:rPr>
                <w:color w:val="000000"/>
                <w:sz w:val="21"/>
                <w:szCs w:val="21"/>
              </w:rPr>
              <w:t>»), Мельник М.Ю., издательство «Ориентир», г. Киев, 2017 (решение Верховного Суда Донецкой Народной Республики от 10.07.2024);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сентября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5444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>
              <w:rPr>
                <w:color w:val="000000"/>
                <w:sz w:val="21"/>
                <w:szCs w:val="21"/>
              </w:rPr>
              <w:t>Чердаклинского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районного суда Ульяновской области от 28.05.2024);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 октября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5445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Музыкальная композиция «Дохлая </w:t>
            </w:r>
            <w:proofErr w:type="spellStart"/>
            <w:r>
              <w:rPr>
                <w:color w:val="000000"/>
                <w:sz w:val="21"/>
                <w:szCs w:val="21"/>
              </w:rPr>
              <w:t>русня</w:t>
            </w:r>
            <w:proofErr w:type="spellEnd"/>
            <w:r>
              <w:rPr>
                <w:color w:val="000000"/>
                <w:sz w:val="21"/>
                <w:szCs w:val="21"/>
              </w:rPr>
              <w:t>», размещенная исполнителем под творческим псевдонимом «</w:t>
            </w:r>
            <w:proofErr w:type="spellStart"/>
            <w:r>
              <w:rPr>
                <w:color w:val="000000"/>
                <w:sz w:val="21"/>
                <w:szCs w:val="21"/>
              </w:rPr>
              <w:t>Нах</w:t>
            </w:r>
            <w:proofErr w:type="spellEnd"/>
            <w:r>
              <w:rPr>
                <w:color w:val="000000"/>
                <w:sz w:val="21"/>
                <w:szCs w:val="21"/>
              </w:rPr>
              <w:t>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>
              <w:rPr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Дохлая </w:t>
            </w:r>
            <w:proofErr w:type="spellStart"/>
            <w:r>
              <w:rPr>
                <w:color w:val="000000"/>
                <w:sz w:val="21"/>
                <w:szCs w:val="21"/>
              </w:rPr>
              <w:t>русня</w:t>
            </w:r>
            <w:proofErr w:type="spellEnd"/>
            <w:r>
              <w:rPr>
                <w:color w:val="000000"/>
                <w:sz w:val="21"/>
                <w:szCs w:val="21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 октября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5446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>
              <w:rPr>
                <w:color w:val="000000"/>
                <w:sz w:val="21"/>
                <w:szCs w:val="21"/>
              </w:rPr>
              <w:t>Ру</w:t>
            </w:r>
            <w:proofErr w:type="spellEnd"/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r>
              <w:rPr>
                <w:color w:val="000000"/>
                <w:sz w:val="21"/>
                <w:szCs w:val="21"/>
              </w:rPr>
              <w:t>ня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*****</w:t>
            </w:r>
            <w:proofErr w:type="spellStart"/>
            <w:r>
              <w:rPr>
                <w:color w:val="000000"/>
                <w:sz w:val="21"/>
                <w:szCs w:val="21"/>
              </w:rPr>
              <w:t>сы</w:t>
            </w:r>
            <w:proofErr w:type="spellEnd"/>
            <w:r>
              <w:rPr>
                <w:color w:val="000000"/>
                <w:sz w:val="21"/>
                <w:szCs w:val="21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</w:t>
            </w:r>
            <w:proofErr w:type="spellStart"/>
            <w:r>
              <w:rPr>
                <w:color w:val="000000"/>
                <w:sz w:val="21"/>
                <w:szCs w:val="21"/>
              </w:rPr>
              <w:t>Подонок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на </w:t>
            </w:r>
            <w:proofErr w:type="spellStart"/>
            <w:r>
              <w:rPr>
                <w:color w:val="000000"/>
                <w:sz w:val="21"/>
                <w:szCs w:val="21"/>
              </w:rPr>
              <w:t>подонке</w:t>
            </w:r>
            <w:proofErr w:type="spellEnd"/>
            <w:r>
              <w:rPr>
                <w:color w:val="000000"/>
                <w:sz w:val="21"/>
                <w:szCs w:val="21"/>
              </w:rPr>
              <w:t>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 октября 2024</w:t>
            </w:r>
          </w:p>
        </w:tc>
      </w:tr>
      <w:tr w:rsid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5447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>
              <w:rPr>
                <w:color w:val="000000"/>
                <w:sz w:val="21"/>
                <w:szCs w:val="21"/>
              </w:rPr>
              <w:t>W.W.Norton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Company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2023г. под авторством </w:t>
            </w:r>
            <w:proofErr w:type="spellStart"/>
            <w:r>
              <w:rPr>
                <w:color w:val="000000"/>
                <w:sz w:val="21"/>
                <w:szCs w:val="21"/>
              </w:rPr>
              <w:t>Плохий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С.Н. (решение Московского городского суда от 28.08.2024);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 октября 2024</w:t>
            </w:r>
          </w:p>
        </w:tc>
      </w:tr>
      <w:tr w:rsid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5448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Книга «</w:t>
            </w:r>
            <w:proofErr w:type="spellStart"/>
            <w:r>
              <w:rPr>
                <w:color w:val="000000"/>
                <w:sz w:val="21"/>
                <w:szCs w:val="21"/>
              </w:rPr>
              <w:t>Московська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отрута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», издательство «ФОП </w:t>
            </w:r>
            <w:proofErr w:type="spellStart"/>
            <w:r>
              <w:rPr>
                <w:color w:val="000000"/>
                <w:sz w:val="21"/>
                <w:szCs w:val="21"/>
              </w:rPr>
              <w:t>Стебеляк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Default="00047D6F" w:rsidP="00047D6F">
            <w:pPr>
              <w:spacing w:after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 октября 2024</w:t>
            </w:r>
          </w:p>
        </w:tc>
      </w:tr>
      <w:tr w:rsidR="00047D6F" w:rsidRPr="00047D6F" w:rsidTr="00047D6F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Pr="00047D6F" w:rsidRDefault="00047D6F" w:rsidP="00047D6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5449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Pr="00047D6F" w:rsidRDefault="00047D6F" w:rsidP="00047D6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Сборник – «Олег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Панф</w:t>
            </w:r>
            <w:proofErr w:type="gram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Антирадянськi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iсторiï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Тернопiль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Мандрiвець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2016.» («Олег Панфилов «Антисоветские истории», Тернополь,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Мандривец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2016.») (решение Московского городского суда от 11.09.2024);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Pr="00047D6F" w:rsidRDefault="00047D6F" w:rsidP="00047D6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047D6F" w:rsidRPr="00047D6F" w:rsidTr="00047D6F">
        <w:tc>
          <w:tcPr>
            <w:tcW w:w="8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Pr="00047D6F" w:rsidRDefault="00047D6F" w:rsidP="00047D6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5450</w:t>
            </w:r>
          </w:p>
        </w:tc>
        <w:tc>
          <w:tcPr>
            <w:tcW w:w="75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Pr="00047D6F" w:rsidRDefault="00047D6F" w:rsidP="00047D6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– «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</w:t>
            </w:r>
            <w:proofErr w:type="gram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йська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окупацiя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деокупацiя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Украïни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iсторiя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сучаснi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загрози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виклики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сьогодення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</w:t>
            </w:r>
            <w:proofErr w:type="gram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Всеукраïнськоï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науково-практичноï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конференцiï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Киïв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2016 р.) /Упор. </w:t>
            </w:r>
            <w:proofErr w:type="gram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Гай-Нижник.-К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.:» МП Леся», 2016. – 352 с.» («Российская оккупация и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деоккупация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Украины: история, современные угрозы и вызовы современности:</w:t>
            </w:r>
            <w:proofErr w:type="gram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Материалы Всеукраинской научно-практической конференции (Киев, 2016г.) / Состав. </w:t>
            </w:r>
            <w:proofErr w:type="gram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Гай-Нижник</w:t>
            </w:r>
            <w:proofErr w:type="spellEnd"/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К.: «МП Леся», 2016 – 352 с.») (решение Московского городского суда от 11.09.2024);</w:t>
            </w:r>
            <w:proofErr w:type="gramEnd"/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D6F" w:rsidRPr="00047D6F" w:rsidRDefault="00047D6F" w:rsidP="00047D6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</w:tbl>
    <w:p w:rsidR="00047D6F" w:rsidRDefault="00047D6F" w:rsidP="00047D6F">
      <w:pPr>
        <w:spacing w:after="0"/>
      </w:pPr>
    </w:p>
    <w:sectPr w:rsidR="00047D6F" w:rsidSect="0004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D6F"/>
    <w:rsid w:val="00047D6F"/>
    <w:rsid w:val="003D4E9F"/>
    <w:rsid w:val="006D4F4A"/>
    <w:rsid w:val="00DA17D8"/>
    <w:rsid w:val="00E67CFA"/>
    <w:rsid w:val="00F0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2024-11-14T18:14:00Z</dcterms:created>
  <dcterms:modified xsi:type="dcterms:W3CDTF">2024-11-14T18:14:00Z</dcterms:modified>
</cp:coreProperties>
</file>