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B" w:rsidRPr="0001664B" w:rsidRDefault="0001664B" w:rsidP="0001664B">
      <w:pPr>
        <w:spacing w:after="190" w:line="411" w:lineRule="atLeast"/>
        <w:jc w:val="center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01664B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МУНИЦИПАЛЬНОЕ БЮДЖЕТНОЕ ОБЩЕОБРАЗОВАТЕЛЬНОЕ УЧРЕЖДЕНИЕ "ЭЛЬБАРУСОВСКАЯ СРЕДНЯЯ ОБЩЕОБРАЗОВАТЕЛЬНАЯ ШКОЛА" МАРИИНСКО-ПОСАДСКОГО МУНИЦИПАЛЬНОГО ОКРУГА ЧУВАШСКОЙ РЕСПУБЛИКИ</w:t>
      </w:r>
    </w:p>
    <w:p w:rsidR="0001664B" w:rsidRPr="0001664B" w:rsidRDefault="0001664B" w:rsidP="0001664B">
      <w:pPr>
        <w:spacing w:after="0" w:line="411" w:lineRule="atLeast"/>
        <w:jc w:val="center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01664B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Отчет о финансовых результатах деятельности за 2023 г.</w:t>
      </w:r>
    </w:p>
    <w:tbl>
      <w:tblPr>
        <w:tblW w:w="14273" w:type="dxa"/>
        <w:tblCellMar>
          <w:left w:w="0" w:type="dxa"/>
          <w:right w:w="0" w:type="dxa"/>
        </w:tblCellMar>
        <w:tblLook w:val="04A0"/>
      </w:tblPr>
      <w:tblGrid>
        <w:gridCol w:w="4309"/>
        <w:gridCol w:w="969"/>
        <w:gridCol w:w="1310"/>
        <w:gridCol w:w="1933"/>
        <w:gridCol w:w="2412"/>
        <w:gridCol w:w="1821"/>
        <w:gridCol w:w="1519"/>
      </w:tblGrid>
      <w:tr w:rsidR="0001664B" w:rsidRPr="0001664B" w:rsidTr="0001664B">
        <w:trPr>
          <w:tblHeader/>
        </w:trPr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Код аналитики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proofErr w:type="spellStart"/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Ит</w:t>
            </w:r>
            <w:r>
              <w:rPr>
                <w:rFonts w:ascii="Roboto" w:hAnsi="Roboto"/>
                <w:color w:val="FFFFFF"/>
                <w:shd w:val="clear" w:color="auto" w:fill="0094AB"/>
              </w:rPr>
              <w:t>Итого</w:t>
            </w:r>
            <w:r w:rsidRPr="0001664B">
              <w:rPr>
                <w:rFonts w:ascii="Roboto" w:eastAsia="Times New Roman" w:hAnsi="Roboto" w:cs="Times New Roman"/>
                <w:color w:val="FFFFFF"/>
                <w:lang w:eastAsia="ru-RU"/>
              </w:rPr>
              <w:t>ого</w:t>
            </w:r>
            <w:proofErr w:type="spellEnd"/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7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1664B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Доходы (стр. 030 + стр. 040 + стр. 050 + стр. 060 + стр. 070 + стр. 090 + стр. 100 + стр. 110)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2 022 960,24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27 334 896,10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518 772,43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29 876 628,77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24 676 109,10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518 211,25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25 194 320,35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proofErr w:type="gramStart"/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Доходы от оказания платных услуг (работ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24 676 109,10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518 211,25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25 194 320,35</w:t>
            </w:r>
          </w:p>
        </w:tc>
      </w:tr>
      <w:tr w:rsidR="0001664B" w:rsidRPr="0001664B" w:rsidTr="0001664B">
        <w:tc>
          <w:tcPr>
            <w:tcW w:w="0" w:type="auto"/>
            <w:shd w:val="clear" w:color="auto" w:fill="FFFFFF"/>
            <w:vAlign w:val="center"/>
            <w:hideMark/>
          </w:tcPr>
          <w:p w:rsidR="0001664B" w:rsidRPr="0001664B" w:rsidRDefault="0001664B" w:rsidP="0001664B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561,18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561,18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доходы 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561,18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561,18</w:t>
            </w:r>
          </w:p>
        </w:tc>
      </w:tr>
      <w:tr w:rsidR="0001664B" w:rsidRPr="0001664B" w:rsidTr="0001664B">
        <w:tc>
          <w:tcPr>
            <w:tcW w:w="0" w:type="auto"/>
            <w:shd w:val="clear" w:color="auto" w:fill="FFFFFF"/>
            <w:vAlign w:val="center"/>
            <w:hideMark/>
          </w:tcPr>
          <w:p w:rsidR="0001664B" w:rsidRPr="0001664B" w:rsidRDefault="0001664B" w:rsidP="0001664B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Безвозмездные поступления текущего характера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2 022 960,24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2 022 960,24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Поступление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2 022 960,24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2 022 960,24</w:t>
            </w:r>
          </w:p>
        </w:tc>
      </w:tr>
      <w:tr w:rsidR="0001664B" w:rsidRPr="0001664B" w:rsidTr="0001664B">
        <w:tc>
          <w:tcPr>
            <w:tcW w:w="0" w:type="auto"/>
            <w:shd w:val="clear" w:color="auto" w:fill="FFFFFF"/>
            <w:vAlign w:val="center"/>
            <w:hideMark/>
          </w:tcPr>
          <w:p w:rsidR="0001664B" w:rsidRPr="0001664B" w:rsidRDefault="0001664B" w:rsidP="0001664B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Безвозмездные поступления капитального характера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97 512,00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97 512,00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Доходы от выбытия активов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97 512,00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97 512,00</w:t>
            </w:r>
          </w:p>
        </w:tc>
      </w:tr>
      <w:tr w:rsidR="0001664B" w:rsidRPr="0001664B" w:rsidTr="0001664B">
        <w:tc>
          <w:tcPr>
            <w:tcW w:w="0" w:type="auto"/>
            <w:shd w:val="clear" w:color="auto" w:fill="FFFFFF"/>
            <w:vAlign w:val="center"/>
            <w:hideMark/>
          </w:tcPr>
          <w:p w:rsidR="0001664B" w:rsidRPr="0001664B" w:rsidRDefault="0001664B" w:rsidP="0001664B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Безвозмездные </w:t>
            </w:r>
            <w:proofErr w:type="spellStart"/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неденежные</w:t>
            </w:r>
            <w:proofErr w:type="spellEnd"/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2 561 275,00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2 561 275,00</w:t>
            </w:r>
          </w:p>
        </w:tc>
      </w:tr>
      <w:tr w:rsidR="0001664B" w:rsidRPr="0001664B" w:rsidTr="0001664B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01664B" w:rsidRPr="0001664B" w:rsidTr="0001664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Безвозмездные </w:t>
            </w:r>
            <w:proofErr w:type="spellStart"/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неденежные</w:t>
            </w:r>
            <w:proofErr w:type="spellEnd"/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2 561 275,00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01664B" w:rsidRPr="0001664B" w:rsidRDefault="0001664B" w:rsidP="000166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01664B">
              <w:rPr>
                <w:rFonts w:ascii="Roboto" w:eastAsia="Times New Roman" w:hAnsi="Roboto" w:cs="Times New Roman"/>
                <w:color w:val="000000"/>
                <w:lang w:eastAsia="ru-RU"/>
              </w:rPr>
              <w:t>2 561 275,00</w:t>
            </w:r>
          </w:p>
        </w:tc>
      </w:tr>
      <w:tr w:rsidR="0001664B" w:rsidRPr="0001664B" w:rsidTr="0001664B"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64B" w:rsidRPr="0001664B" w:rsidRDefault="0001664B" w:rsidP="0001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7748" w:rsidRDefault="005F7748"/>
    <w:sectPr w:rsidR="005F7748" w:rsidSect="000166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F3A"/>
    <w:rsid w:val="0001664B"/>
    <w:rsid w:val="002D5F3A"/>
    <w:rsid w:val="005F7748"/>
    <w:rsid w:val="00E6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ightnormal">
    <w:name w:val="weight_normal"/>
    <w:basedOn w:val="a"/>
    <w:rsid w:val="0001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2024-04-02T14:33:00Z</dcterms:created>
  <dcterms:modified xsi:type="dcterms:W3CDTF">2024-04-02T14:33:00Z</dcterms:modified>
</cp:coreProperties>
</file>