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716" w:rsidRDefault="00CF1716" w:rsidP="00CF1716">
      <w:pPr>
        <w:pStyle w:val="1"/>
        <w:numPr>
          <w:ilvl w:val="0"/>
          <w:numId w:val="0"/>
        </w:numPr>
        <w:jc w:val="center"/>
        <w:rPr>
          <w:sz w:val="28"/>
        </w:rPr>
      </w:pPr>
      <w:bookmarkStart w:id="0" w:name="_Toc502151643"/>
      <w:r>
        <w:rPr>
          <w:sz w:val="28"/>
        </w:rPr>
        <w:t>Примерный перечень часто используемых при проведении ЕГЭ документов, удостоверяющих личность</w:t>
      </w:r>
      <w:bookmarkEnd w:id="0"/>
    </w:p>
    <w:p w:rsidR="00CF1716" w:rsidRDefault="00CF1716" w:rsidP="00CF17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:rsidR="00CF1716" w:rsidRDefault="00CF1716" w:rsidP="00CF17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Документы, удостоверяющие личность граждан Российской Федерации</w:t>
      </w:r>
    </w:p>
    <w:p w:rsidR="00CF1716" w:rsidRDefault="00CF1716" w:rsidP="00CF1716">
      <w:pPr>
        <w:tabs>
          <w:tab w:val="left" w:pos="9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 Паспорт гражданина Российской Федерации, удостоверяющий личность гражданина Российской Федерации на территории Российской Федерации (форма 2П «Временное удостоверение личности гражданина Российской Федерации»);</w:t>
      </w:r>
    </w:p>
    <w:p w:rsidR="00CF1716" w:rsidRDefault="00CF1716" w:rsidP="00CF17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 Паспорт гражданина Российской Федерации для выезда из Российской Федерации и въезда в Российскую Федерацию, удостоверяющий личность гражданина Российской Федерации за пределами территории Российской Федерации (заграничный);</w:t>
      </w:r>
    </w:p>
    <w:p w:rsidR="00CF1716" w:rsidRDefault="00CF1716" w:rsidP="00CF17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 Дипломатический паспорт;</w:t>
      </w:r>
    </w:p>
    <w:p w:rsidR="00CF1716" w:rsidRDefault="00CF1716" w:rsidP="00CF17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4. Служебный паспорт;</w:t>
      </w:r>
    </w:p>
    <w:p w:rsidR="00CF1716" w:rsidRDefault="00CF1716" w:rsidP="00CF17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Удостоверение личности военнослужащего; </w:t>
      </w:r>
    </w:p>
    <w:p w:rsidR="00CF1716" w:rsidRDefault="00CF1716" w:rsidP="00CF17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 Временное удостоверение личности гражданина Российской Федерации, выдаваемое на период оформления паспорта.</w:t>
      </w:r>
    </w:p>
    <w:p w:rsidR="00CF1716" w:rsidRDefault="00CF1716" w:rsidP="00CF17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1716" w:rsidRDefault="00CF1716" w:rsidP="00CF17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Документы, удостоверяющие личность иностранных граждан</w:t>
      </w:r>
    </w:p>
    <w:p w:rsidR="00CF1716" w:rsidRDefault="00CF1716" w:rsidP="00CF17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 Паспорт иностранного гражданина либо иной документ, установленный федеральным законом или признаваемый в соответствии с международным договором Российской Федерации в качестве документа, удостоверяющего личность иностранного гражданина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footnoteReference w:id="1"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CF1716" w:rsidRDefault="00CF1716" w:rsidP="00CF17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 Разрешение на временное проживание;</w:t>
      </w:r>
    </w:p>
    <w:p w:rsidR="00CF1716" w:rsidRDefault="00CF1716" w:rsidP="00CF17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 Вид на жительство;</w:t>
      </w:r>
    </w:p>
    <w:p w:rsidR="00CF1716" w:rsidRDefault="00CF1716" w:rsidP="00CF17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4. Иные документы, предусмотренные федеральным законом или признаваемые в соответствии с международным договором Российской Федерации в качестве документов, удостоверяющих личность лица без гражданства.</w:t>
      </w:r>
    </w:p>
    <w:p w:rsidR="00CF1716" w:rsidRDefault="00CF1716" w:rsidP="00CF17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1716" w:rsidRDefault="00CF1716" w:rsidP="00CF17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Документы, удостоверяющие личность лица без гражданства</w:t>
      </w:r>
    </w:p>
    <w:p w:rsidR="00CF1716" w:rsidRDefault="00CF1716" w:rsidP="00CF17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Документ, выданный иностранным государством и признаваемый в соответствии с международным договором Российской Федерации в качестве документа, удостоверяющего личность лица без гражданства;</w:t>
      </w:r>
    </w:p>
    <w:p w:rsidR="00CF1716" w:rsidRDefault="00CF1716" w:rsidP="00CF17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 Вид на жительство;</w:t>
      </w:r>
    </w:p>
    <w:p w:rsidR="00CF1716" w:rsidRDefault="00CF1716" w:rsidP="00CF17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 Иные документы, предусмотренные федеральным законом или признаваемые в соответствии с международным договором Российской Федерации в качестве документов, удостоверяющих личность лица без гражданства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footnoteReference w:id="2"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F1716" w:rsidRDefault="00CF1716" w:rsidP="00CF17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1716" w:rsidRDefault="00CF1716" w:rsidP="00CF17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Документы, удостоверяющие личность беженцев</w:t>
      </w:r>
    </w:p>
    <w:p w:rsidR="00CF1716" w:rsidRDefault="00CF1716" w:rsidP="00CF1716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Удостоверение беженца.</w:t>
      </w:r>
    </w:p>
    <w:p w:rsidR="00CF1716" w:rsidRDefault="00CF1716" w:rsidP="00CF1716"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Свидетельство о рассмотрении ходатайства о признании гражданина беженцем на территории Российской Федерации.</w:t>
      </w:r>
    </w:p>
    <w:p w:rsidR="004F38AF" w:rsidRDefault="004F38AF"/>
    <w:sectPr w:rsidR="004F3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1DE" w:rsidRDefault="006411DE" w:rsidP="00CF1716">
      <w:pPr>
        <w:spacing w:after="0" w:line="240" w:lineRule="auto"/>
      </w:pPr>
      <w:r>
        <w:separator/>
      </w:r>
    </w:p>
  </w:endnote>
  <w:endnote w:type="continuationSeparator" w:id="0">
    <w:p w:rsidR="006411DE" w:rsidRDefault="006411DE" w:rsidP="00CF1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1DE" w:rsidRDefault="006411DE" w:rsidP="00CF1716">
      <w:pPr>
        <w:spacing w:after="0" w:line="240" w:lineRule="auto"/>
      </w:pPr>
      <w:r>
        <w:separator/>
      </w:r>
    </w:p>
  </w:footnote>
  <w:footnote w:type="continuationSeparator" w:id="0">
    <w:p w:rsidR="006411DE" w:rsidRDefault="006411DE" w:rsidP="00CF1716">
      <w:pPr>
        <w:spacing w:after="0" w:line="240" w:lineRule="auto"/>
      </w:pPr>
      <w:r>
        <w:continuationSeparator/>
      </w:r>
    </w:p>
  </w:footnote>
  <w:footnote w:id="1">
    <w:p w:rsidR="00CF1716" w:rsidRDefault="00CF1716" w:rsidP="00CF1716">
      <w:pPr>
        <w:pStyle w:val="a3"/>
      </w:pPr>
      <w:r>
        <w:rPr>
          <w:rStyle w:val="a6"/>
        </w:rPr>
        <w:footnoteRef/>
      </w:r>
      <w:r>
        <w:t xml:space="preserve"> Пункт 1 статьи 10 Федерального закона от 25 июля 2002 г. № 115-ФЗ «О правовом положении иностранных граждан в Российской Федерации» (Собрание законодательства Российской Федерации, 2002, № 30, ст. 3032).</w:t>
      </w:r>
    </w:p>
  </w:footnote>
  <w:footnote w:id="2">
    <w:p w:rsidR="00CF1716" w:rsidRDefault="00CF1716" w:rsidP="00CF1716">
      <w:pPr>
        <w:pStyle w:val="a3"/>
      </w:pPr>
      <w:r>
        <w:rPr>
          <w:rStyle w:val="a6"/>
        </w:rPr>
        <w:footnoteRef/>
      </w:r>
      <w:r>
        <w:t xml:space="preserve"> Пункт 2 статьи 10 Федерального закона от 25 июля 2002 г. № 115-ФЗ «О правовом положении иностранных граждан в Российской Федерации» (Собрание законодательства Российской Федерации, 2002, № 30, ст. 3032).</w:t>
      </w:r>
      <w:bookmarkStart w:id="1" w:name="_GoBack"/>
      <w:bookmarkEnd w:id="1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A2E5E"/>
    <w:multiLevelType w:val="multilevel"/>
    <w:tmpl w:val="B0FA12A2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9A37D7C"/>
    <w:multiLevelType w:val="hybridMultilevel"/>
    <w:tmpl w:val="2668BC78"/>
    <w:lvl w:ilvl="0" w:tplc="24EA8C84">
      <w:start w:val="1"/>
      <w:numFmt w:val="decimal"/>
      <w:lvlText w:val="%1."/>
      <w:lvlJc w:val="left"/>
      <w:pPr>
        <w:ind w:left="1720" w:hanging="100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716"/>
    <w:rsid w:val="004F38AF"/>
    <w:rsid w:val="006411DE"/>
    <w:rsid w:val="00CF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F171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CF1716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0">
    <w:name w:val="МР заголовок1 Знак"/>
    <w:basedOn w:val="a0"/>
    <w:link w:val="1"/>
    <w:locked/>
    <w:rsid w:val="00CF1716"/>
    <w:rPr>
      <w:rFonts w:ascii="Times New Roman" w:hAnsi="Times New Roman" w:cs="Times New Roman"/>
      <w:b/>
      <w:sz w:val="32"/>
      <w:szCs w:val="28"/>
    </w:rPr>
  </w:style>
  <w:style w:type="paragraph" w:customStyle="1" w:styleId="2">
    <w:name w:val="МР заголовок2"/>
    <w:basedOn w:val="a5"/>
    <w:next w:val="a"/>
    <w:qFormat/>
    <w:rsid w:val="00CF1716"/>
    <w:pPr>
      <w:keepNext/>
      <w:keepLines/>
      <w:numPr>
        <w:ilvl w:val="1"/>
        <w:numId w:val="1"/>
      </w:numPr>
      <w:tabs>
        <w:tab w:val="num" w:pos="360"/>
      </w:tabs>
      <w:spacing w:before="120" w:after="120" w:line="240" w:lineRule="auto"/>
      <w:ind w:left="788" w:hanging="431"/>
      <w:outlineLvl w:val="1"/>
    </w:pPr>
    <w:rPr>
      <w:rFonts w:ascii="Times New Roman" w:hAnsi="Times New Roman" w:cs="Times New Roman"/>
      <w:b/>
      <w:sz w:val="28"/>
      <w:szCs w:val="28"/>
    </w:rPr>
  </w:style>
  <w:style w:type="paragraph" w:customStyle="1" w:styleId="1">
    <w:name w:val="МР заголовок1"/>
    <w:basedOn w:val="a5"/>
    <w:next w:val="2"/>
    <w:link w:val="10"/>
    <w:qFormat/>
    <w:rsid w:val="00CF1716"/>
    <w:pPr>
      <w:keepNext/>
      <w:keepLines/>
      <w:pageBreakBefore/>
      <w:numPr>
        <w:numId w:val="1"/>
      </w:numPr>
      <w:spacing w:after="120" w:line="240" w:lineRule="auto"/>
      <w:ind w:left="357" w:hanging="357"/>
      <w:outlineLvl w:val="0"/>
    </w:pPr>
    <w:rPr>
      <w:rFonts w:ascii="Times New Roman" w:hAnsi="Times New Roman" w:cs="Times New Roman"/>
      <w:b/>
      <w:sz w:val="32"/>
      <w:szCs w:val="28"/>
    </w:rPr>
  </w:style>
  <w:style w:type="character" w:styleId="a6">
    <w:name w:val="footnote reference"/>
    <w:uiPriority w:val="99"/>
    <w:semiHidden/>
    <w:unhideWhenUsed/>
    <w:rsid w:val="00CF1716"/>
    <w:rPr>
      <w:rFonts w:ascii="Times New Roman" w:hAnsi="Times New Roman" w:cs="Times New Roman" w:hint="default"/>
      <w:vertAlign w:val="superscript"/>
    </w:rPr>
  </w:style>
  <w:style w:type="paragraph" w:styleId="a5">
    <w:name w:val="List Paragraph"/>
    <w:basedOn w:val="a"/>
    <w:uiPriority w:val="34"/>
    <w:qFormat/>
    <w:rsid w:val="00CF17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F171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CF1716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0">
    <w:name w:val="МР заголовок1 Знак"/>
    <w:basedOn w:val="a0"/>
    <w:link w:val="1"/>
    <w:locked/>
    <w:rsid w:val="00CF1716"/>
    <w:rPr>
      <w:rFonts w:ascii="Times New Roman" w:hAnsi="Times New Roman" w:cs="Times New Roman"/>
      <w:b/>
      <w:sz w:val="32"/>
      <w:szCs w:val="28"/>
    </w:rPr>
  </w:style>
  <w:style w:type="paragraph" w:customStyle="1" w:styleId="2">
    <w:name w:val="МР заголовок2"/>
    <w:basedOn w:val="a5"/>
    <w:next w:val="a"/>
    <w:qFormat/>
    <w:rsid w:val="00CF1716"/>
    <w:pPr>
      <w:keepNext/>
      <w:keepLines/>
      <w:numPr>
        <w:ilvl w:val="1"/>
        <w:numId w:val="1"/>
      </w:numPr>
      <w:tabs>
        <w:tab w:val="num" w:pos="360"/>
      </w:tabs>
      <w:spacing w:before="120" w:after="120" w:line="240" w:lineRule="auto"/>
      <w:ind w:left="788" w:hanging="431"/>
      <w:outlineLvl w:val="1"/>
    </w:pPr>
    <w:rPr>
      <w:rFonts w:ascii="Times New Roman" w:hAnsi="Times New Roman" w:cs="Times New Roman"/>
      <w:b/>
      <w:sz w:val="28"/>
      <w:szCs w:val="28"/>
    </w:rPr>
  </w:style>
  <w:style w:type="paragraph" w:customStyle="1" w:styleId="1">
    <w:name w:val="МР заголовок1"/>
    <w:basedOn w:val="a5"/>
    <w:next w:val="2"/>
    <w:link w:val="10"/>
    <w:qFormat/>
    <w:rsid w:val="00CF1716"/>
    <w:pPr>
      <w:keepNext/>
      <w:keepLines/>
      <w:pageBreakBefore/>
      <w:numPr>
        <w:numId w:val="1"/>
      </w:numPr>
      <w:spacing w:after="120" w:line="240" w:lineRule="auto"/>
      <w:ind w:left="357" w:hanging="357"/>
      <w:outlineLvl w:val="0"/>
    </w:pPr>
    <w:rPr>
      <w:rFonts w:ascii="Times New Roman" w:hAnsi="Times New Roman" w:cs="Times New Roman"/>
      <w:b/>
      <w:sz w:val="32"/>
      <w:szCs w:val="28"/>
    </w:rPr>
  </w:style>
  <w:style w:type="character" w:styleId="a6">
    <w:name w:val="footnote reference"/>
    <w:uiPriority w:val="99"/>
    <w:semiHidden/>
    <w:unhideWhenUsed/>
    <w:rsid w:val="00CF1716"/>
    <w:rPr>
      <w:rFonts w:ascii="Times New Roman" w:hAnsi="Times New Roman" w:cs="Times New Roman" w:hint="default"/>
      <w:vertAlign w:val="superscript"/>
    </w:rPr>
  </w:style>
  <w:style w:type="paragraph" w:styleId="a5">
    <w:name w:val="List Paragraph"/>
    <w:basedOn w:val="a"/>
    <w:uiPriority w:val="34"/>
    <w:qFormat/>
    <w:rsid w:val="00CF17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4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2020-05-06T06:26:00Z</dcterms:created>
  <dcterms:modified xsi:type="dcterms:W3CDTF">2020-05-06T06:27:00Z</dcterms:modified>
</cp:coreProperties>
</file>