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F8C" w:rsidRDefault="00802F8C" w:rsidP="00802F8C">
      <w:pPr>
        <w:ind w:firstLine="540"/>
        <w:jc w:val="center"/>
        <w:rPr>
          <w:rFonts w:eastAsia="Times New Roman" w:cs="Times New Roman"/>
          <w:b/>
          <w:sz w:val="28"/>
          <w:szCs w:val="28"/>
        </w:rPr>
      </w:pPr>
      <w:r w:rsidRPr="00802F8C">
        <w:rPr>
          <w:rFonts w:eastAsia="Times New Roman" w:cs="Times New Roman"/>
          <w:b/>
          <w:sz w:val="28"/>
          <w:szCs w:val="28"/>
        </w:rPr>
        <w:t>Об ответственности владельцев денежных счетов</w:t>
      </w:r>
      <w:r>
        <w:rPr>
          <w:rFonts w:eastAsia="Times New Roman" w:cs="Times New Roman"/>
          <w:b/>
          <w:sz w:val="28"/>
          <w:szCs w:val="28"/>
        </w:rPr>
        <w:br/>
      </w:r>
      <w:r w:rsidRPr="00802F8C">
        <w:rPr>
          <w:rFonts w:eastAsia="Times New Roman" w:cs="Times New Roman"/>
          <w:b/>
          <w:sz w:val="28"/>
          <w:szCs w:val="28"/>
        </w:rPr>
        <w:t>в связи с использованием их в мошеннической схеме («дропперов»)</w:t>
      </w:r>
    </w:p>
    <w:p w:rsidR="00802F8C" w:rsidRPr="00701F80" w:rsidRDefault="00802F8C" w:rsidP="00802F8C">
      <w:pPr>
        <w:ind w:firstLine="540"/>
        <w:jc w:val="center"/>
        <w:rPr>
          <w:rFonts w:eastAsia="Times New Roman" w:cs="Times New Roman"/>
          <w:b/>
          <w:sz w:val="28"/>
          <w:szCs w:val="28"/>
        </w:rPr>
      </w:pPr>
    </w:p>
    <w:p w:rsidR="00802F8C" w:rsidRPr="000557ED" w:rsidRDefault="00802F8C" w:rsidP="00620B79">
      <w:pPr>
        <w:ind w:firstLine="709"/>
        <w:jc w:val="both"/>
        <w:rPr>
          <w:rFonts w:eastAsia="Times New Roman" w:cs="Times New Roman"/>
          <w:sz w:val="28"/>
          <w:szCs w:val="28"/>
        </w:rPr>
      </w:pPr>
      <w:r w:rsidRPr="001C746C">
        <w:rPr>
          <w:rFonts w:eastAsia="Times New Roman" w:cs="Times New Roman"/>
          <w:sz w:val="28"/>
          <w:szCs w:val="28"/>
        </w:rPr>
        <w:t xml:space="preserve">Еженедельно на территории </w:t>
      </w:r>
      <w:r w:rsidRPr="000557ED">
        <w:rPr>
          <w:rFonts w:eastAsia="Times New Roman" w:cs="Times New Roman"/>
          <w:sz w:val="28"/>
          <w:szCs w:val="28"/>
        </w:rPr>
        <w:t>Чувашской Республики</w:t>
      </w:r>
      <w:r w:rsidRPr="001C746C">
        <w:rPr>
          <w:rFonts w:eastAsia="Times New Roman" w:cs="Times New Roman"/>
          <w:sz w:val="28"/>
          <w:szCs w:val="28"/>
        </w:rPr>
        <w:t xml:space="preserve"> десятки клиентов банков становятся жертвами мошенников. Комфортный доступ к банковским услугам имеет обратную сторону </w:t>
      </w:r>
      <w:r w:rsidR="007A14B4" w:rsidRPr="000557ED">
        <w:rPr>
          <w:rFonts w:eastAsia="Times New Roman" w:cs="Times New Roman"/>
          <w:sz w:val="28"/>
          <w:szCs w:val="28"/>
        </w:rPr>
        <w:t>в виде многомиллионных хищений.</w:t>
      </w:r>
    </w:p>
    <w:p w:rsidR="00802F8C" w:rsidRPr="00802F8C" w:rsidRDefault="00802F8C" w:rsidP="00620B79">
      <w:pPr>
        <w:ind w:firstLine="709"/>
        <w:jc w:val="both"/>
        <w:rPr>
          <w:rFonts w:eastAsia="Times New Roman" w:cs="Times New Roman"/>
          <w:sz w:val="28"/>
          <w:szCs w:val="28"/>
        </w:rPr>
      </w:pPr>
      <w:r w:rsidRPr="00802F8C">
        <w:rPr>
          <w:rFonts w:eastAsia="Times New Roman" w:cs="Times New Roman"/>
          <w:sz w:val="28"/>
          <w:szCs w:val="28"/>
        </w:rPr>
        <w:t xml:space="preserve">Одной из главных сложностей при расследовании соответствующих уголовных дел является установление конечного получателя похищенных денежных средств, которые после поступления на банковский счет конкретного лица последовательно переводятся между другими счетами и обналичиваются. </w:t>
      </w:r>
    </w:p>
    <w:p w:rsidR="00802F8C" w:rsidRPr="00802F8C" w:rsidRDefault="007A14B4" w:rsidP="00620B79">
      <w:pPr>
        <w:ind w:firstLine="709"/>
        <w:jc w:val="both"/>
        <w:rPr>
          <w:rFonts w:eastAsia="Times New Roman" w:cs="Times New Roman"/>
          <w:sz w:val="28"/>
          <w:szCs w:val="28"/>
        </w:rPr>
      </w:pPr>
      <w:r w:rsidRPr="001C746C">
        <w:rPr>
          <w:rFonts w:eastAsia="Times New Roman" w:cs="Times New Roman"/>
          <w:sz w:val="28"/>
          <w:szCs w:val="28"/>
        </w:rPr>
        <w:t>В большинстве случаев органы расследования устанавливают</w:t>
      </w:r>
      <w:r w:rsidRPr="000557ED">
        <w:rPr>
          <w:rFonts w:eastAsia="Times New Roman" w:cs="Times New Roman"/>
          <w:sz w:val="28"/>
          <w:szCs w:val="28"/>
        </w:rPr>
        <w:t xml:space="preserve"> </w:t>
      </w:r>
      <w:r w:rsidRPr="001C746C">
        <w:rPr>
          <w:rFonts w:eastAsia="Times New Roman" w:cs="Times New Roman"/>
          <w:sz w:val="28"/>
          <w:szCs w:val="28"/>
        </w:rPr>
        <w:t>посредников (</w:t>
      </w:r>
      <w:r w:rsidRPr="000557ED">
        <w:rPr>
          <w:rFonts w:eastAsia="Times New Roman" w:cs="Times New Roman"/>
          <w:sz w:val="28"/>
          <w:szCs w:val="28"/>
        </w:rPr>
        <w:t>«</w:t>
      </w:r>
      <w:r w:rsidRPr="001C746C">
        <w:rPr>
          <w:rFonts w:eastAsia="Times New Roman" w:cs="Times New Roman"/>
          <w:sz w:val="28"/>
          <w:szCs w:val="28"/>
        </w:rPr>
        <w:t>дропперов</w:t>
      </w:r>
      <w:r w:rsidRPr="000557ED">
        <w:rPr>
          <w:rFonts w:eastAsia="Times New Roman" w:cs="Times New Roman"/>
          <w:sz w:val="28"/>
          <w:szCs w:val="28"/>
        </w:rPr>
        <w:t>»</w:t>
      </w:r>
      <w:r w:rsidRPr="001C746C">
        <w:rPr>
          <w:rFonts w:eastAsia="Times New Roman" w:cs="Times New Roman"/>
          <w:sz w:val="28"/>
          <w:szCs w:val="28"/>
        </w:rPr>
        <w:t>)</w:t>
      </w:r>
      <w:r w:rsidRPr="000557ED">
        <w:rPr>
          <w:rFonts w:eastAsia="Times New Roman" w:cs="Times New Roman"/>
          <w:sz w:val="28"/>
          <w:szCs w:val="28"/>
        </w:rPr>
        <w:t xml:space="preserve">, но они </w:t>
      </w:r>
      <w:r w:rsidR="00802F8C" w:rsidRPr="00802F8C">
        <w:rPr>
          <w:rFonts w:eastAsia="Times New Roman" w:cs="Times New Roman"/>
          <w:sz w:val="28"/>
          <w:szCs w:val="28"/>
        </w:rPr>
        <w:t xml:space="preserve">отрицают причастность к совершению преступления и в ходе допросов сообщают об утрате банковских карт либо об их оформлении и дальнейшей передаче за денежное вознаграждение третьим лицам. </w:t>
      </w:r>
    </w:p>
    <w:p w:rsidR="00802F8C" w:rsidRPr="00802F8C" w:rsidRDefault="00802F8C" w:rsidP="00620B79">
      <w:pPr>
        <w:ind w:firstLine="709"/>
        <w:jc w:val="both"/>
        <w:rPr>
          <w:rFonts w:eastAsia="Times New Roman" w:cs="Times New Roman"/>
          <w:sz w:val="28"/>
          <w:szCs w:val="28"/>
        </w:rPr>
      </w:pPr>
      <w:r w:rsidRPr="00802F8C">
        <w:rPr>
          <w:rFonts w:eastAsia="Times New Roman" w:cs="Times New Roman"/>
          <w:sz w:val="28"/>
          <w:szCs w:val="28"/>
        </w:rPr>
        <w:t>При этом доказать о</w:t>
      </w:r>
      <w:r w:rsidR="00620B79" w:rsidRPr="000557ED">
        <w:rPr>
          <w:rFonts w:eastAsia="Times New Roman" w:cs="Times New Roman"/>
          <w:sz w:val="28"/>
          <w:szCs w:val="28"/>
        </w:rPr>
        <w:t>сведомленность «</w:t>
      </w:r>
      <w:r w:rsidRPr="00802F8C">
        <w:rPr>
          <w:rFonts w:eastAsia="Times New Roman" w:cs="Times New Roman"/>
          <w:sz w:val="28"/>
          <w:szCs w:val="28"/>
        </w:rPr>
        <w:t>дропперов</w:t>
      </w:r>
      <w:r w:rsidR="00620B79" w:rsidRPr="000557ED">
        <w:rPr>
          <w:rFonts w:eastAsia="Times New Roman" w:cs="Times New Roman"/>
          <w:sz w:val="28"/>
          <w:szCs w:val="28"/>
        </w:rPr>
        <w:t>»</w:t>
      </w:r>
      <w:r w:rsidRPr="00802F8C">
        <w:rPr>
          <w:rFonts w:eastAsia="Times New Roman" w:cs="Times New Roman"/>
          <w:sz w:val="28"/>
          <w:szCs w:val="28"/>
        </w:rPr>
        <w:t xml:space="preserve"> о совершении мошенничества и их умышленное участие в обналичивании похищенных денежных средств не всегда возможно.</w:t>
      </w:r>
    </w:p>
    <w:p w:rsidR="00802F8C" w:rsidRPr="00802F8C" w:rsidRDefault="00802F8C" w:rsidP="00620B79">
      <w:pPr>
        <w:ind w:firstLine="709"/>
        <w:jc w:val="both"/>
        <w:rPr>
          <w:rFonts w:eastAsia="Times New Roman" w:cs="Times New Roman"/>
          <w:sz w:val="28"/>
          <w:szCs w:val="28"/>
        </w:rPr>
      </w:pPr>
      <w:r w:rsidRPr="00802F8C">
        <w:rPr>
          <w:rFonts w:eastAsia="Times New Roman" w:cs="Times New Roman"/>
          <w:sz w:val="28"/>
          <w:szCs w:val="28"/>
        </w:rPr>
        <w:t xml:space="preserve">Данным обстоятельством активно пользуются организаторы хищений, которые, привлекая таких граждан предложениями быстрого и безопасного заработка, выкупают у них сведения об оформленных банковских счетах для дальнейшего использования в своих противоправных целях. </w:t>
      </w:r>
    </w:p>
    <w:p w:rsidR="007A14B4" w:rsidRPr="001C746C" w:rsidRDefault="007A14B4" w:rsidP="00620B79">
      <w:pPr>
        <w:ind w:firstLine="709"/>
        <w:jc w:val="both"/>
        <w:rPr>
          <w:rFonts w:eastAsia="Times New Roman" w:cs="Times New Roman"/>
          <w:sz w:val="28"/>
          <w:szCs w:val="28"/>
        </w:rPr>
      </w:pPr>
      <w:r w:rsidRPr="001C746C">
        <w:rPr>
          <w:rFonts w:eastAsia="Times New Roman" w:cs="Times New Roman"/>
          <w:sz w:val="28"/>
          <w:szCs w:val="28"/>
        </w:rPr>
        <w:t>Несмотря на то</w:t>
      </w:r>
      <w:r w:rsidRPr="000557ED">
        <w:rPr>
          <w:rFonts w:eastAsia="Times New Roman" w:cs="Times New Roman"/>
          <w:sz w:val="28"/>
          <w:szCs w:val="28"/>
        </w:rPr>
        <w:t>,</w:t>
      </w:r>
      <w:r w:rsidRPr="001C746C">
        <w:rPr>
          <w:rFonts w:eastAsia="Times New Roman" w:cs="Times New Roman"/>
          <w:sz w:val="28"/>
          <w:szCs w:val="28"/>
        </w:rPr>
        <w:t xml:space="preserve"> что основания для привлечения таких лиц к уголовной ответственности есть не всегда, это не освобождает их от необходимости возмещать ущерб, что и заложено в основу привлечения их к гражданско-правовой ответственности. </w:t>
      </w:r>
    </w:p>
    <w:p w:rsidR="007A14B4" w:rsidRPr="000557ED" w:rsidRDefault="007A14B4" w:rsidP="00620B79">
      <w:pPr>
        <w:ind w:firstLine="709"/>
        <w:jc w:val="both"/>
        <w:rPr>
          <w:rFonts w:eastAsia="Times New Roman" w:cs="Times New Roman"/>
          <w:sz w:val="28"/>
          <w:szCs w:val="28"/>
        </w:rPr>
      </w:pPr>
      <w:r w:rsidRPr="000557ED">
        <w:rPr>
          <w:rFonts w:eastAsia="Times New Roman" w:cs="Times New Roman"/>
          <w:sz w:val="28"/>
          <w:szCs w:val="28"/>
        </w:rPr>
        <w:t>В соответствии со ст.</w:t>
      </w:r>
      <w:r w:rsidRPr="001C746C">
        <w:rPr>
          <w:rFonts w:eastAsia="Times New Roman" w:cs="Times New Roman"/>
          <w:sz w:val="28"/>
          <w:szCs w:val="28"/>
        </w:rPr>
        <w:t xml:space="preserve"> 1102 ГК РФ определено, что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Эти правила применяются независимо от того, стало неосновательное обогащение результатом поведения приобретателя имущества, самого потерпевшего, третьих лиц или произошло помимо их воли.</w:t>
      </w:r>
    </w:p>
    <w:p w:rsidR="007A14B4" w:rsidRPr="001C746C" w:rsidRDefault="007A14B4" w:rsidP="00620B79">
      <w:pPr>
        <w:ind w:firstLine="709"/>
        <w:jc w:val="both"/>
        <w:rPr>
          <w:rFonts w:eastAsia="Times New Roman" w:cs="Times New Roman"/>
          <w:sz w:val="28"/>
          <w:szCs w:val="28"/>
        </w:rPr>
      </w:pPr>
      <w:r w:rsidRPr="001C746C">
        <w:rPr>
          <w:rFonts w:eastAsia="Times New Roman" w:cs="Times New Roman"/>
          <w:sz w:val="28"/>
          <w:szCs w:val="28"/>
        </w:rPr>
        <w:t>Для того</w:t>
      </w:r>
      <w:r w:rsidRPr="000557ED">
        <w:rPr>
          <w:rFonts w:eastAsia="Times New Roman" w:cs="Times New Roman"/>
          <w:sz w:val="28"/>
          <w:szCs w:val="28"/>
        </w:rPr>
        <w:t>,</w:t>
      </w:r>
      <w:r w:rsidRPr="001C746C">
        <w:rPr>
          <w:rFonts w:eastAsia="Times New Roman" w:cs="Times New Roman"/>
          <w:sz w:val="28"/>
          <w:szCs w:val="28"/>
        </w:rPr>
        <w:t xml:space="preserve"> чтобы доказать наличие обязательства, возникшего вследствие неосновательного обогащения, необходимо подтвердить факт безосновательного сбережения чужого имущества приобретателем и наличие в результате этого убытков у потерпевшего. </w:t>
      </w:r>
    </w:p>
    <w:p w:rsidR="007A14B4" w:rsidRPr="000557ED" w:rsidRDefault="007A14B4" w:rsidP="00620B79">
      <w:pPr>
        <w:ind w:firstLine="709"/>
        <w:jc w:val="both"/>
        <w:rPr>
          <w:rFonts w:eastAsia="Times New Roman" w:cs="Times New Roman"/>
          <w:sz w:val="28"/>
          <w:szCs w:val="28"/>
        </w:rPr>
      </w:pPr>
      <w:r w:rsidRPr="001C746C">
        <w:rPr>
          <w:rFonts w:eastAsia="Times New Roman" w:cs="Times New Roman"/>
          <w:sz w:val="28"/>
          <w:szCs w:val="28"/>
        </w:rPr>
        <w:t xml:space="preserve">Как правило, внутрибанковскими документами установлено, что банковская карта принадлежит самой кредитной организации, держатель же обладает лишь правомочием пользования. В силу этого он не вправе передавать другим лицам как саму карту, так и секретный ключ, используемый для авторизации пользователя (ПИН-код). Поэтому за все негативные последствия, связанные с передачей карты третьим лицам, ответственность </w:t>
      </w:r>
      <w:r w:rsidRPr="001C746C">
        <w:rPr>
          <w:rFonts w:eastAsia="Times New Roman" w:cs="Times New Roman"/>
          <w:sz w:val="28"/>
          <w:szCs w:val="28"/>
        </w:rPr>
        <w:lastRenderedPageBreak/>
        <w:t xml:space="preserve">несет держатель карты. Это распространяется и на операции, произведенные с использованием банковской карты. Указанное дает основания для взыскания поступивших </w:t>
      </w:r>
      <w:r w:rsidR="00445E79" w:rsidRPr="000557ED">
        <w:rPr>
          <w:rFonts w:eastAsia="Times New Roman" w:cs="Times New Roman"/>
          <w:sz w:val="28"/>
          <w:szCs w:val="28"/>
        </w:rPr>
        <w:t>«</w:t>
      </w:r>
      <w:proofErr w:type="spellStart"/>
      <w:r w:rsidRPr="001C746C">
        <w:rPr>
          <w:rFonts w:eastAsia="Times New Roman" w:cs="Times New Roman"/>
          <w:sz w:val="28"/>
          <w:szCs w:val="28"/>
        </w:rPr>
        <w:t>дропперам</w:t>
      </w:r>
      <w:proofErr w:type="spellEnd"/>
      <w:r w:rsidR="00445E79" w:rsidRPr="000557ED">
        <w:rPr>
          <w:rFonts w:eastAsia="Times New Roman" w:cs="Times New Roman"/>
          <w:sz w:val="28"/>
          <w:szCs w:val="28"/>
        </w:rPr>
        <w:t>»</w:t>
      </w:r>
      <w:r w:rsidRPr="001C746C">
        <w:rPr>
          <w:rFonts w:eastAsia="Times New Roman" w:cs="Times New Roman"/>
          <w:sz w:val="28"/>
          <w:szCs w:val="28"/>
        </w:rPr>
        <w:t xml:space="preserve"> похищенных денежных средств вне зависимости от осведомленности об обстоятельствах совершенного хищения, поскольку нет надлежащих правовых оснований для зачисления денежных средств на банковские счета, открытые на их имя. </w:t>
      </w:r>
    </w:p>
    <w:p w:rsidR="00445E79" w:rsidRPr="000557ED" w:rsidRDefault="00445E79" w:rsidP="000557ED">
      <w:pPr>
        <w:ind w:firstLine="540"/>
        <w:jc w:val="both"/>
        <w:rPr>
          <w:rFonts w:eastAsia="Times New Roman" w:cs="Times New Roman"/>
          <w:sz w:val="28"/>
          <w:szCs w:val="28"/>
        </w:rPr>
      </w:pPr>
      <w:r w:rsidRPr="001C746C">
        <w:rPr>
          <w:rFonts w:eastAsia="Times New Roman" w:cs="Times New Roman"/>
          <w:sz w:val="28"/>
          <w:szCs w:val="28"/>
        </w:rPr>
        <w:t>Этой позиции придерживается и высшая судебная инстанция. В обзоре судебной практики Верховный Суд Р</w:t>
      </w:r>
      <w:r w:rsidR="000557ED" w:rsidRPr="000557ED">
        <w:rPr>
          <w:rFonts w:eastAsia="Times New Roman" w:cs="Times New Roman"/>
          <w:sz w:val="28"/>
          <w:szCs w:val="28"/>
        </w:rPr>
        <w:t xml:space="preserve">оссийской </w:t>
      </w:r>
      <w:r w:rsidRPr="001C746C">
        <w:rPr>
          <w:rFonts w:eastAsia="Times New Roman" w:cs="Times New Roman"/>
          <w:sz w:val="28"/>
          <w:szCs w:val="28"/>
        </w:rPr>
        <w:t>Ф</w:t>
      </w:r>
      <w:r w:rsidR="000557ED" w:rsidRPr="000557ED">
        <w:rPr>
          <w:rFonts w:eastAsia="Times New Roman" w:cs="Times New Roman"/>
          <w:sz w:val="28"/>
          <w:szCs w:val="28"/>
        </w:rPr>
        <w:t>едерации (№ 2 (2019) утвержден Президиумом Верховного Суда Российской Федерации 17.07.2019)</w:t>
      </w:r>
      <w:r w:rsidRPr="001C746C">
        <w:rPr>
          <w:rFonts w:eastAsia="Times New Roman" w:cs="Times New Roman"/>
          <w:sz w:val="28"/>
          <w:szCs w:val="28"/>
        </w:rPr>
        <w:t xml:space="preserve"> указал, что в подобных делах истец должен доказать факт приобретения </w:t>
      </w:r>
      <w:r w:rsidR="000557ED" w:rsidRPr="000557ED">
        <w:rPr>
          <w:rFonts w:eastAsia="Times New Roman" w:cs="Times New Roman"/>
          <w:sz w:val="28"/>
          <w:szCs w:val="28"/>
        </w:rPr>
        <w:t xml:space="preserve">или сбережения </w:t>
      </w:r>
      <w:r w:rsidRPr="001C746C">
        <w:rPr>
          <w:rFonts w:eastAsia="Times New Roman" w:cs="Times New Roman"/>
          <w:sz w:val="28"/>
          <w:szCs w:val="28"/>
        </w:rPr>
        <w:t>имущества ответчиком, а тот, наоборот, подтвердить</w:t>
      </w:r>
      <w:r w:rsidRPr="000557ED">
        <w:rPr>
          <w:rFonts w:eastAsia="Times New Roman" w:cs="Times New Roman"/>
          <w:sz w:val="28"/>
          <w:szCs w:val="28"/>
        </w:rPr>
        <w:t xml:space="preserve"> </w:t>
      </w:r>
      <w:r w:rsidR="000557ED" w:rsidRPr="000557ED">
        <w:rPr>
          <w:rFonts w:eastAsia="Times New Roman" w:cs="Times New Roman"/>
          <w:sz w:val="28"/>
          <w:szCs w:val="28"/>
        </w:rPr>
        <w:t xml:space="preserve">наличие законных оснований для приобретения или сбережения такого имущества либо наличие обстоятельств, при которых неосновательное обогащение в силу закона не подлежит возврату. </w:t>
      </w:r>
      <w:r w:rsidRPr="001C746C">
        <w:rPr>
          <w:rFonts w:eastAsia="Times New Roman" w:cs="Times New Roman"/>
          <w:sz w:val="28"/>
          <w:szCs w:val="28"/>
        </w:rPr>
        <w:t>Утрата карты сама по себе не лишает клиента прав в отношении средств, находящихся на банковском счете, и возможнос</w:t>
      </w:r>
      <w:r w:rsidR="000557ED" w:rsidRPr="000557ED">
        <w:rPr>
          <w:rFonts w:eastAsia="Times New Roman" w:cs="Times New Roman"/>
          <w:sz w:val="28"/>
          <w:szCs w:val="28"/>
        </w:rPr>
        <w:t>ти распоряжаться этими деньгами.</w:t>
      </w:r>
    </w:p>
    <w:p w:rsidR="00802F8C" w:rsidRPr="00802F8C" w:rsidRDefault="00802F8C" w:rsidP="00620B79">
      <w:pPr>
        <w:ind w:firstLine="709"/>
        <w:jc w:val="both"/>
        <w:rPr>
          <w:rFonts w:eastAsia="Times New Roman" w:cs="Times New Roman"/>
          <w:sz w:val="28"/>
          <w:szCs w:val="28"/>
        </w:rPr>
      </w:pPr>
      <w:r w:rsidRPr="00802F8C">
        <w:rPr>
          <w:rFonts w:eastAsia="Times New Roman" w:cs="Times New Roman"/>
          <w:sz w:val="28"/>
          <w:szCs w:val="28"/>
        </w:rPr>
        <w:t xml:space="preserve">В ходе рассмотрения заявленных при указанных обстоятельствах исков ответчики - номинальные владельцы счетов доказательств наличия законных оснований для приобретения денежных средств представить не могут, в связи с чем суды выносят решения в пользу потерпевших. </w:t>
      </w:r>
    </w:p>
    <w:p w:rsidR="00802F8C" w:rsidRPr="00802F8C" w:rsidRDefault="00802F8C" w:rsidP="00620B79">
      <w:pPr>
        <w:ind w:firstLine="709"/>
        <w:jc w:val="both"/>
        <w:rPr>
          <w:rFonts w:eastAsia="Times New Roman" w:cs="Times New Roman"/>
          <w:sz w:val="28"/>
          <w:szCs w:val="28"/>
        </w:rPr>
      </w:pPr>
      <w:r w:rsidRPr="00802F8C">
        <w:rPr>
          <w:rFonts w:eastAsia="Times New Roman" w:cs="Times New Roman"/>
          <w:sz w:val="28"/>
          <w:szCs w:val="28"/>
        </w:rPr>
        <w:t xml:space="preserve">Более того, даже заявленные ими доводы о передаче данных о счете третьим лицам не рассматриваются как достаточное основание для отказа в удовлетворении иска, поскольку в этих случаях фактически подтверждается нарушение условий банковского обслуживания. </w:t>
      </w:r>
    </w:p>
    <w:p w:rsidR="00802F8C" w:rsidRPr="00802F8C" w:rsidRDefault="00802F8C" w:rsidP="00620B79">
      <w:pPr>
        <w:ind w:firstLine="709"/>
        <w:jc w:val="both"/>
        <w:rPr>
          <w:rFonts w:eastAsia="Times New Roman" w:cs="Times New Roman"/>
          <w:sz w:val="28"/>
          <w:szCs w:val="28"/>
        </w:rPr>
      </w:pPr>
      <w:r w:rsidRPr="00802F8C">
        <w:rPr>
          <w:rFonts w:eastAsia="Times New Roman" w:cs="Times New Roman"/>
          <w:sz w:val="28"/>
          <w:szCs w:val="28"/>
        </w:rPr>
        <w:t xml:space="preserve">Так, после отмены Шестым кассационным судом общей юрисдикции решений нижестоящих судов </w:t>
      </w:r>
      <w:r w:rsidR="00445E79" w:rsidRPr="000557ED">
        <w:rPr>
          <w:rFonts w:eastAsia="Times New Roman" w:cs="Times New Roman"/>
          <w:sz w:val="28"/>
          <w:szCs w:val="28"/>
        </w:rPr>
        <w:t>(о</w:t>
      </w:r>
      <w:r w:rsidR="00445E79" w:rsidRPr="00802F8C">
        <w:rPr>
          <w:rFonts w:eastAsia="Times New Roman" w:cs="Times New Roman"/>
          <w:sz w:val="28"/>
          <w:szCs w:val="28"/>
        </w:rPr>
        <w:t>пределения от 20.12.2022 по делу N 88-26884/2022 и от 21 03 2023 по делу N 88-6459/2023</w:t>
      </w:r>
      <w:r w:rsidR="00445E79" w:rsidRPr="000557ED">
        <w:rPr>
          <w:rFonts w:eastAsia="Times New Roman" w:cs="Times New Roman"/>
          <w:sz w:val="28"/>
          <w:szCs w:val="28"/>
        </w:rPr>
        <w:t xml:space="preserve">) </w:t>
      </w:r>
      <w:r w:rsidRPr="00802F8C">
        <w:rPr>
          <w:rFonts w:eastAsia="Times New Roman" w:cs="Times New Roman"/>
          <w:sz w:val="28"/>
          <w:szCs w:val="28"/>
        </w:rPr>
        <w:t xml:space="preserve">удовлетворены иски граждан о взыскании неосновательного обогащения с ответчиков, утверждавших, что они не могли распоряжаться поступившими денежными средствами, так как передавали данные счетов третьим лицам. </w:t>
      </w:r>
    </w:p>
    <w:p w:rsidR="00802F8C" w:rsidRPr="00802F8C" w:rsidRDefault="00802F8C" w:rsidP="00620B79">
      <w:pPr>
        <w:ind w:firstLine="709"/>
        <w:jc w:val="both"/>
        <w:rPr>
          <w:rFonts w:eastAsia="Times New Roman" w:cs="Times New Roman"/>
          <w:sz w:val="28"/>
          <w:szCs w:val="28"/>
        </w:rPr>
      </w:pPr>
      <w:r w:rsidRPr="00802F8C">
        <w:rPr>
          <w:rFonts w:eastAsia="Times New Roman" w:cs="Times New Roman"/>
          <w:sz w:val="28"/>
          <w:szCs w:val="28"/>
        </w:rPr>
        <w:t xml:space="preserve">Таким образом, обозначенная судебная практика позволяет потерпевшим от преступлений в сфере информационно-телекоммуникационных технологий даже при </w:t>
      </w:r>
      <w:proofErr w:type="spellStart"/>
      <w:r w:rsidRPr="00802F8C">
        <w:rPr>
          <w:rFonts w:eastAsia="Times New Roman" w:cs="Times New Roman"/>
          <w:sz w:val="28"/>
          <w:szCs w:val="28"/>
        </w:rPr>
        <w:t>неустановлении</w:t>
      </w:r>
      <w:proofErr w:type="spellEnd"/>
      <w:r w:rsidRPr="00802F8C">
        <w:rPr>
          <w:rFonts w:eastAsia="Times New Roman" w:cs="Times New Roman"/>
          <w:sz w:val="28"/>
          <w:szCs w:val="28"/>
        </w:rPr>
        <w:t xml:space="preserve"> подлежащего привлечению к уголовной ответственности лица эффективно защищать свои права и возмещать причиненный ущерб. </w:t>
      </w:r>
    </w:p>
    <w:p w:rsidR="00802F8C" w:rsidRPr="00802F8C" w:rsidRDefault="00802F8C" w:rsidP="00620B79">
      <w:pPr>
        <w:ind w:firstLine="709"/>
        <w:jc w:val="both"/>
        <w:rPr>
          <w:rFonts w:eastAsia="Times New Roman" w:cs="Times New Roman"/>
          <w:sz w:val="28"/>
          <w:szCs w:val="28"/>
        </w:rPr>
      </w:pPr>
      <w:r w:rsidRPr="00802F8C">
        <w:rPr>
          <w:rFonts w:eastAsia="Times New Roman" w:cs="Times New Roman"/>
          <w:sz w:val="28"/>
          <w:szCs w:val="28"/>
        </w:rPr>
        <w:t xml:space="preserve">Вместе с тем, учитывая слабую осведомленность граждан о названной возможности, значительную практическую пользу приносит проведение с ними адресной работы по правовому просвещению. </w:t>
      </w:r>
    </w:p>
    <w:p w:rsidR="00802F8C" w:rsidRPr="00802F8C" w:rsidRDefault="00802F8C" w:rsidP="00620B79">
      <w:pPr>
        <w:ind w:firstLine="709"/>
        <w:jc w:val="both"/>
        <w:rPr>
          <w:rFonts w:eastAsia="Times New Roman" w:cs="Times New Roman"/>
          <w:sz w:val="28"/>
          <w:szCs w:val="28"/>
        </w:rPr>
      </w:pPr>
      <w:r w:rsidRPr="00802F8C">
        <w:rPr>
          <w:rFonts w:eastAsia="Times New Roman" w:cs="Times New Roman"/>
          <w:sz w:val="28"/>
          <w:szCs w:val="28"/>
        </w:rPr>
        <w:t xml:space="preserve">Кроме того, согласно части 1 статьи 45 ГПК РФ прокурор может обратиться в суд с иском в порядке гражданского судопроизводства в случае, если потерпевший по состоянию здоровья, возрасту, недееспособности и другим уважительным причинам не может сделать этого сам. </w:t>
      </w:r>
    </w:p>
    <w:p w:rsidR="00802F8C" w:rsidRPr="00802F8C" w:rsidRDefault="00802F8C" w:rsidP="00620B79">
      <w:pPr>
        <w:ind w:firstLine="709"/>
        <w:jc w:val="both"/>
        <w:rPr>
          <w:rFonts w:eastAsia="Times New Roman" w:cs="Times New Roman"/>
          <w:sz w:val="28"/>
          <w:szCs w:val="28"/>
        </w:rPr>
      </w:pPr>
      <w:r w:rsidRPr="00802F8C">
        <w:rPr>
          <w:rFonts w:eastAsia="Times New Roman" w:cs="Times New Roman"/>
          <w:sz w:val="28"/>
          <w:szCs w:val="28"/>
        </w:rPr>
        <w:t xml:space="preserve">При этом ключевую роль в данном процессе играет наличие в материалах дела необходимых сведений о потерпевших, позволяющих </w:t>
      </w:r>
      <w:r w:rsidRPr="00802F8C">
        <w:rPr>
          <w:rFonts w:eastAsia="Times New Roman" w:cs="Times New Roman"/>
          <w:sz w:val="28"/>
          <w:szCs w:val="28"/>
        </w:rPr>
        <w:lastRenderedPageBreak/>
        <w:t xml:space="preserve">прокурору принять решение о возможности инициирования исковой работы в соответствии с требованиями указанной статьи закона. </w:t>
      </w:r>
    </w:p>
    <w:p w:rsidR="00D7277A" w:rsidRPr="00802F8C" w:rsidRDefault="00D7277A" w:rsidP="00D7277A">
      <w:pPr>
        <w:ind w:firstLine="709"/>
        <w:jc w:val="both"/>
        <w:rPr>
          <w:rFonts w:eastAsia="Times New Roman" w:cs="Times New Roman"/>
          <w:sz w:val="28"/>
          <w:szCs w:val="28"/>
        </w:rPr>
      </w:pPr>
      <w:bookmarkStart w:id="0" w:name="_GoBack"/>
      <w:bookmarkEnd w:id="0"/>
      <w:r w:rsidRPr="00802F8C">
        <w:rPr>
          <w:rFonts w:eastAsia="Times New Roman" w:cs="Times New Roman"/>
          <w:sz w:val="28"/>
          <w:szCs w:val="28"/>
        </w:rPr>
        <w:t xml:space="preserve">Соответствующая работа является одним из важных элементов противодействия рассматриваемому виду преступности, поскольку позволяет компенсировать материальные потери пострадавших от мошеннических действий, а также создает дополнительные препятствия для развития теневого рынка купли-продажи сведений о банковских счетах и использования </w:t>
      </w:r>
      <w:r w:rsidRPr="000557ED">
        <w:rPr>
          <w:rFonts w:eastAsia="Times New Roman" w:cs="Times New Roman"/>
          <w:sz w:val="28"/>
          <w:szCs w:val="28"/>
        </w:rPr>
        <w:t>«</w:t>
      </w:r>
      <w:r w:rsidRPr="00802F8C">
        <w:rPr>
          <w:rFonts w:eastAsia="Times New Roman" w:cs="Times New Roman"/>
          <w:sz w:val="28"/>
          <w:szCs w:val="28"/>
        </w:rPr>
        <w:t>дропперов</w:t>
      </w:r>
      <w:r w:rsidRPr="000557ED">
        <w:rPr>
          <w:rFonts w:eastAsia="Times New Roman" w:cs="Times New Roman"/>
          <w:sz w:val="28"/>
          <w:szCs w:val="28"/>
        </w:rPr>
        <w:t>»</w:t>
      </w:r>
      <w:r w:rsidRPr="00802F8C">
        <w:rPr>
          <w:rFonts w:eastAsia="Times New Roman" w:cs="Times New Roman"/>
          <w:sz w:val="28"/>
          <w:szCs w:val="28"/>
        </w:rPr>
        <w:t xml:space="preserve"> в преступных схемах. </w:t>
      </w:r>
    </w:p>
    <w:p w:rsidR="00802F8C" w:rsidRPr="00802F8C" w:rsidRDefault="00701F80" w:rsidP="00620B79">
      <w:pPr>
        <w:ind w:firstLine="709"/>
        <w:jc w:val="both"/>
        <w:rPr>
          <w:rFonts w:eastAsia="Times New Roman" w:cs="Times New Roman"/>
          <w:sz w:val="28"/>
          <w:szCs w:val="28"/>
        </w:rPr>
      </w:pPr>
      <w:r w:rsidRPr="000557ED">
        <w:rPr>
          <w:rFonts w:eastAsia="Times New Roman" w:cs="Times New Roman"/>
          <w:sz w:val="28"/>
          <w:szCs w:val="28"/>
        </w:rPr>
        <w:t>Сообщая об</w:t>
      </w:r>
      <w:r w:rsidR="00802F8C" w:rsidRPr="00802F8C">
        <w:rPr>
          <w:rFonts w:eastAsia="Times New Roman" w:cs="Times New Roman"/>
          <w:sz w:val="28"/>
          <w:szCs w:val="28"/>
        </w:rPr>
        <w:t xml:space="preserve"> изложенно</w:t>
      </w:r>
      <w:r w:rsidRPr="000557ED">
        <w:rPr>
          <w:rFonts w:eastAsia="Times New Roman" w:cs="Times New Roman"/>
          <w:sz w:val="28"/>
          <w:szCs w:val="28"/>
        </w:rPr>
        <w:t>м</w:t>
      </w:r>
      <w:r w:rsidR="00802F8C" w:rsidRPr="00802F8C">
        <w:rPr>
          <w:rFonts w:eastAsia="Times New Roman" w:cs="Times New Roman"/>
          <w:sz w:val="28"/>
          <w:szCs w:val="28"/>
        </w:rPr>
        <w:t xml:space="preserve">, </w:t>
      </w:r>
      <w:r w:rsidRPr="000557ED">
        <w:rPr>
          <w:rFonts w:eastAsia="Times New Roman" w:cs="Times New Roman"/>
          <w:sz w:val="28"/>
          <w:szCs w:val="28"/>
        </w:rPr>
        <w:t xml:space="preserve">предлагается активизировать работу по правовому просвещению граждан на обозначенном направлении, при получении сведений об обстоятельствах мошенничества с использованием банковских счетов «дропперов» и наличии оснований </w:t>
      </w:r>
      <w:r w:rsidR="00802F8C" w:rsidRPr="00802F8C">
        <w:rPr>
          <w:rFonts w:eastAsia="Times New Roman" w:cs="Times New Roman"/>
          <w:sz w:val="28"/>
          <w:szCs w:val="28"/>
        </w:rPr>
        <w:t xml:space="preserve">следует решать вопрос о подготовке искового заявления. </w:t>
      </w:r>
    </w:p>
    <w:p w:rsidR="00D7277A" w:rsidRPr="000557ED" w:rsidRDefault="00D7277A">
      <w:pPr>
        <w:ind w:firstLine="709"/>
        <w:rPr>
          <w:sz w:val="28"/>
          <w:szCs w:val="28"/>
        </w:rPr>
      </w:pPr>
    </w:p>
    <w:sectPr w:rsidR="00D7277A" w:rsidRPr="000557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F8C"/>
    <w:rsid w:val="000557ED"/>
    <w:rsid w:val="00310457"/>
    <w:rsid w:val="00445E79"/>
    <w:rsid w:val="005F2FFA"/>
    <w:rsid w:val="00620B79"/>
    <w:rsid w:val="00701F80"/>
    <w:rsid w:val="007A14B4"/>
    <w:rsid w:val="00802F8C"/>
    <w:rsid w:val="00D72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AF44"/>
  <w15:chartTrackingRefBased/>
  <w15:docId w15:val="{18010BB8-F632-4077-862A-D2E11D65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FFA"/>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link w:val="10"/>
    <w:qFormat/>
    <w:rsid w:val="005F2FFA"/>
    <w:pPr>
      <w:spacing w:after="0"/>
      <w:ind w:left="0" w:firstLine="720"/>
      <w:jc w:val="both"/>
    </w:pPr>
    <w:rPr>
      <w:rFonts w:eastAsia="Times New Roman" w:cs="Times New Roman"/>
      <w:spacing w:val="-2"/>
      <w:sz w:val="28"/>
      <w:szCs w:val="28"/>
    </w:rPr>
  </w:style>
  <w:style w:type="character" w:customStyle="1" w:styleId="10">
    <w:name w:val="Стиль1 Знак"/>
    <w:link w:val="1"/>
    <w:rsid w:val="005F2FFA"/>
    <w:rPr>
      <w:rFonts w:ascii="Times New Roman" w:eastAsia="Times New Roman" w:hAnsi="Times New Roman" w:cs="Times New Roman"/>
      <w:spacing w:val="-2"/>
      <w:sz w:val="28"/>
      <w:szCs w:val="28"/>
      <w:lang w:eastAsia="ru-RU"/>
    </w:rPr>
  </w:style>
  <w:style w:type="paragraph" w:styleId="a3">
    <w:name w:val="Body Text Indent"/>
    <w:basedOn w:val="a"/>
    <w:link w:val="a4"/>
    <w:uiPriority w:val="99"/>
    <w:semiHidden/>
    <w:unhideWhenUsed/>
    <w:rsid w:val="005F2FFA"/>
    <w:pPr>
      <w:spacing w:after="120"/>
      <w:ind w:left="283"/>
    </w:pPr>
  </w:style>
  <w:style w:type="character" w:customStyle="1" w:styleId="a4">
    <w:name w:val="Основной текст с отступом Знак"/>
    <w:basedOn w:val="a0"/>
    <w:link w:val="a3"/>
    <w:uiPriority w:val="99"/>
    <w:semiHidden/>
    <w:rsid w:val="005F2FFA"/>
  </w:style>
  <w:style w:type="paragraph" w:customStyle="1" w:styleId="7">
    <w:name w:val="Стиль7"/>
    <w:basedOn w:val="a"/>
    <w:link w:val="70"/>
    <w:qFormat/>
    <w:rsid w:val="005F2FFA"/>
    <w:pPr>
      <w:ind w:firstLine="708"/>
      <w:jc w:val="both"/>
    </w:pPr>
    <w:rPr>
      <w:rFonts w:asciiTheme="minorHAnsi" w:hAnsiTheme="minorHAnsi"/>
      <w:sz w:val="22"/>
      <w:szCs w:val="28"/>
      <w:lang w:eastAsia="en-US"/>
    </w:rPr>
  </w:style>
  <w:style w:type="character" w:customStyle="1" w:styleId="70">
    <w:name w:val="Стиль7 Знак"/>
    <w:basedOn w:val="a0"/>
    <w:link w:val="7"/>
    <w:locked/>
    <w:rsid w:val="005F2FFA"/>
    <w:rPr>
      <w:szCs w:val="28"/>
    </w:rPr>
  </w:style>
  <w:style w:type="paragraph" w:styleId="a5">
    <w:name w:val="Balloon Text"/>
    <w:basedOn w:val="a"/>
    <w:link w:val="a6"/>
    <w:uiPriority w:val="99"/>
    <w:semiHidden/>
    <w:unhideWhenUsed/>
    <w:rsid w:val="000557ED"/>
    <w:rPr>
      <w:rFonts w:ascii="Segoe UI" w:hAnsi="Segoe UI" w:cs="Segoe UI"/>
      <w:sz w:val="18"/>
      <w:szCs w:val="18"/>
    </w:rPr>
  </w:style>
  <w:style w:type="character" w:customStyle="1" w:styleId="a6">
    <w:name w:val="Текст выноски Знак"/>
    <w:basedOn w:val="a0"/>
    <w:link w:val="a5"/>
    <w:uiPriority w:val="99"/>
    <w:semiHidden/>
    <w:rsid w:val="000557ED"/>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4657">
      <w:bodyDiv w:val="1"/>
      <w:marLeft w:val="0"/>
      <w:marRight w:val="0"/>
      <w:marTop w:val="0"/>
      <w:marBottom w:val="0"/>
      <w:divBdr>
        <w:top w:val="none" w:sz="0" w:space="0" w:color="auto"/>
        <w:left w:val="none" w:sz="0" w:space="0" w:color="auto"/>
        <w:bottom w:val="none" w:sz="0" w:space="0" w:color="auto"/>
        <w:right w:val="none" w:sz="0" w:space="0" w:color="auto"/>
      </w:divBdr>
    </w:div>
    <w:div w:id="1299140323">
      <w:bodyDiv w:val="1"/>
      <w:marLeft w:val="0"/>
      <w:marRight w:val="0"/>
      <w:marTop w:val="0"/>
      <w:marBottom w:val="0"/>
      <w:divBdr>
        <w:top w:val="none" w:sz="0" w:space="0" w:color="auto"/>
        <w:left w:val="none" w:sz="0" w:space="0" w:color="auto"/>
        <w:bottom w:val="none" w:sz="0" w:space="0" w:color="auto"/>
        <w:right w:val="none" w:sz="0" w:space="0" w:color="auto"/>
      </w:divBdr>
    </w:div>
    <w:div w:id="193482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940</Words>
  <Characters>5363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Ксения Рудиковна</dc:creator>
  <cp:keywords/>
  <dc:description/>
  <cp:lastModifiedBy>Григорьева Ксения Рудиковна</cp:lastModifiedBy>
  <cp:revision>1</cp:revision>
  <cp:lastPrinted>2023-09-07T08:02:00Z</cp:lastPrinted>
  <dcterms:created xsi:type="dcterms:W3CDTF">2023-09-07T06:56:00Z</dcterms:created>
  <dcterms:modified xsi:type="dcterms:W3CDTF">2023-09-07T08:08:00Z</dcterms:modified>
</cp:coreProperties>
</file>