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1. Информация о наличии оборудованных учебных кабинетов,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3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Style w:val="3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35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ind w:right="75" w:firstLine="426"/>
                    <w:jc w:val="both"/>
                    <w:textAlignment w:val="baseline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tbl>
                  <w:tblPr>
                    <w:tblStyle w:val="7"/>
                    <w:tblW w:w="3565" w:type="pct"/>
                    <w:tblInd w:w="0" w:type="dxa"/>
                    <w:tblBorders>
                      <w:top w:val="single" w:color="9BBB59" w:themeColor="accent3" w:sz="8" w:space="0"/>
                      <w:left w:val="single" w:color="9BBB59" w:themeColor="accent3" w:sz="8" w:space="0"/>
                      <w:bottom w:val="single" w:color="9BBB59" w:themeColor="accent3" w:sz="8" w:space="0"/>
                      <w:right w:val="single" w:color="9BBB59" w:themeColor="accent3" w:sz="8" w:space="0"/>
                      <w:insideH w:val="single" w:color="9BBB59" w:themeColor="accent3" w:sz="8" w:space="0"/>
                      <w:insideV w:val="single" w:color="9BBB59" w:themeColor="accent3" w:sz="8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641"/>
                    <w:gridCol w:w="1951"/>
                  </w:tblGrid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18" w:space="0"/>
                          <w:right w:val="single" w:color="9BBB59" w:themeColor="accent3" w:sz="8" w:space="0"/>
                          <w:insideH w:val="single" w:sz="18" w:space="0"/>
                          <w:insideV w:val="single" w:sz="8" w:space="0"/>
                        </w:tcBorders>
                      </w:tcPr>
                      <w:p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18" w:space="0"/>
                          <w:right w:val="single" w:color="9BBB59" w:themeColor="accent3" w:sz="8" w:space="0"/>
                          <w:insideH w:val="single" w:sz="18" w:space="0"/>
                          <w:insideV w:val="single" w:sz="8" w:space="0"/>
                        </w:tcBorders>
                      </w:tcPr>
                      <w:p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Количество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Кабинет заведующего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"http://ds112.ucoz.ru/index/metod/0-162"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Методический кабинет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"http://ds112.ucoz.ru/index/razvivajushhaja_sreda/0-110"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Групповые помещения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hint="default" w:ascii="Times New Roman" w:hAnsi="Times New Roman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  <w:t>5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Медицинский блок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ind w:right="102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Процедурный кабинет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Изолятор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"http://ds112.ucoz.ru/index/muz/0-49"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Музыкальный зал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"http://ds112.ucoz.ru/index/sport/0-50"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Физкультурный зал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Мини-музей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Агролаборатория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hint="default" w:ascii="Times New Roman" w:hAnsi="Times New Roman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rPr>
                            <w:rFonts w:hint="default"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Лего</w:t>
                        </w:r>
                        <w:r>
                          <w:rPr>
                            <w:rFonts w:hint="default"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val="en-US" w:eastAsia="ru-RU"/>
                          </w:rPr>
                          <w:t>-кабинет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hint="default" w:ascii="Times New Roman" w:hAnsi="Times New Roman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9BBB59" w:themeColor="accent3" w:sz="8" w:space="0"/>
                        <w:left w:val="single" w:color="9BBB59" w:themeColor="accent3" w:sz="8" w:space="0"/>
                        <w:bottom w:val="single" w:color="9BBB59" w:themeColor="accent3" w:sz="8" w:space="0"/>
                        <w:right w:val="single" w:color="9BBB59" w:themeColor="accent3" w:sz="8" w:space="0"/>
                        <w:insideH w:val="single" w:color="9BBB59" w:themeColor="accent3" w:sz="8" w:space="0"/>
                        <w:insideV w:val="single" w:color="9BBB59" w:themeColor="accent3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472" w:type="pct"/>
                        <w:tcBorders>
                          <w:top w:val="single" w:color="9BBB59" w:themeColor="accent3" w:sz="8" w:space="0"/>
                          <w:left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rPr>
                            <w:rFonts w:hint="default"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Зимний</w:t>
                        </w:r>
                        <w:r>
                          <w:rPr>
                            <w:rFonts w:hint="default" w:ascii="Times New Roman" w:hAnsi="Times New Roman" w:eastAsia="Times New Roman" w:cs="Times New Roman"/>
                            <w:b w:val="0"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сад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color="9BBB59" w:themeColor="accent3" w:sz="8" w:space="0"/>
                          <w:bottom w:val="single" w:color="9BBB59" w:themeColor="accent3" w:sz="8" w:space="0"/>
                          <w:right w:val="single" w:color="9BBB59" w:themeColor="accent3" w:sz="8" w:space="0"/>
                          <w:insideH w:val="single" w:sz="8" w:space="0"/>
                          <w:insideV w:val="single" w:sz="8" w:space="0"/>
                        </w:tcBorders>
                        <w:shd w:val="clear" w:color="auto" w:fill="E6EED5" w:themeFill="accent3" w:themeFillTint="3F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hint="default" w:ascii="Times New Roman" w:hAnsi="Times New Roman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  <w:t>В музыкальном зале для</w:t>
                  </w:r>
                  <w:r>
                    <w:rPr>
                      <w:rFonts w:ascii="Times New Roman" w:hAnsi="Times New Roman" w:eastAsia="Times New Roman" w:cs="Times New Roman"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воспитанников, в том числе инвалидов и лиц с ограниченными возможностями здоровья имеются необходимые технические средства, включая интерактивную доску, фортепиано, синтезатор,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В кабинете музыкального руководителя подобрана фонотека музыкальных произведений, наборы иллюстраций к песням, портреты композиторов. Для самостоятельного творчества оборудованы музыкальные театрализованные уголки в группах.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  <w:t>Физкультурный зал</w:t>
                  </w:r>
                  <w:r>
                    <w:rPr>
                      <w:rFonts w:ascii="Times New Roman" w:hAnsi="Times New Roman" w:eastAsia="Times New Roman" w:cs="Times New Roman"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осна</w:t>
                  </w:r>
                  <w:bookmarkStart w:id="0" w:name="_GoBack"/>
                  <w:bookmarkEnd w:id="0"/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щен необходимым спортивным инвентарем для проведения занятий с детьми, в том числе инвалидами и лицами с ограниченными возможностями здоровья: шведские стенки, детские тренажёры, спортивные комплексы, физкультурные пособия (обручи, мячи, гимнастические палки, кегли, кубики, скакалки и др.), маски для подвижных игр.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В методическом кабинете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представлены в полном объеме: программно -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методическое обеспечение образовательного процесса, учебно-методический материал, аудио - и видеоматериалы, подписные издания по дошкольному образованию.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В каждой группе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для детей, в том числе инвалидов и лиц с ограниченными возможностями здоровья, оборудованы центры для самостоятельной двигательной активности, центры, оснащённые современным дидактическим материалом и пособиями как игровой, так и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Также в группах есть компьютерное оборудование, интерактивные доски для оптимизации образовательного процесса, оснащенные программно-методическими материалами, учебно-дидактическими пособиями, раздаточным и демонстрационным материалом. 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  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Ребенок находится в детском саду весь день. Очень важно, чтобы окружающая обстановка не только соответствовала санитарным правилам и нормативам, но и радовала ребенка, способствовала пробуждению положительных эмоций, воспитанию хорошего вкуса. Поэтому в нашем детском саду сделан акцент на «одомашивание» среды. Каждая группа имеет свой неповторимый вид.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Тематически оформлены и коридоры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Охрана и укрепление здоровья детей – одно из ведущих направлений деятельности каждого детского сада. В нашем саду созданы необходимые условия, отвечающие медицинским и воспитательно-образовательным требованиям по сохранению и укреплению здоровья детей. 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Есть современный </w:t>
                  </w:r>
                  <w:r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  <w:t>медицинский блок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, состоящий из  кабинета для приёма детей, изолятора, процедурного  кабинета.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В каждой возрастной группе имеется необходимое </w:t>
                  </w:r>
                  <w:r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  <w:t>физкультурное оборудование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. Для оздоровительной работы с детьми активно используются «дыхательные трубочки» и «массажные варежки», коррекционные метки по профилактике нарушения зрения детей. Для развития мелкой моторики рук и координации движений в каждой группе созданы «логопедические коврики» 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Для развития у дошкольников логико-математического мышления, навыков счета  и знакомства с математическими понятиями и законами  в группах созданы уголки </w:t>
                  </w:r>
                  <w:r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  <w:t>«Занимательная математика»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и представлены различными  дидактическими играми, пособиями, схемами, лабиринтами, блоками Дьенеша, палочками Кюизенера. 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Не остается без внимания педагогов и </w:t>
                  </w:r>
                  <w:r>
                    <w:rPr>
                      <w:rFonts w:ascii="Times New Roman" w:hAnsi="Times New Roman" w:eastAsia="Times New Roman" w:cs="Times New Roman"/>
                      <w:bCs/>
                      <w:color w:val="77933C" w:themeColor="accent3" w:themeShade="BF"/>
                      <w:sz w:val="24"/>
                      <w:szCs w:val="24"/>
                      <w:shd w:val="clear" w:color="auto" w:fill="FFFFFF"/>
                      <w:lang w:eastAsia="ru-RU"/>
                    </w:rPr>
                    <w:t>территория детского сада.</w:t>
                  </w:r>
                </w:p>
                <w:p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Такая организация предметной среды детского сада позволяет вести системную воспитательно-образовательную работу с детьми как на занятиях, праздниках и развлечениях, так и  во время проведения прогулок, организовывать досуг семей воспитанников детского сада.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FC"/>
    <w:rsid w:val="00180051"/>
    <w:rsid w:val="009C0640"/>
    <w:rsid w:val="00C0561B"/>
    <w:rsid w:val="00D650FC"/>
    <w:rsid w:val="5E0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Light Grid Accent 3"/>
    <w:basedOn w:val="3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">
    <w:name w:val="Medium Shading 1 Accent 2"/>
    <w:basedOn w:val="3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">
    <w:name w:val="Colorful Shading Accent 2"/>
    <w:basedOn w:val="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700</Words>
  <Characters>3993</Characters>
  <Lines>33</Lines>
  <Paragraphs>9</Paragraphs>
  <TotalTime>43</TotalTime>
  <ScaleCrop>false</ScaleCrop>
  <LinksUpToDate>false</LinksUpToDate>
  <CharactersWithSpaces>4684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2019-07-14T16:47:00Z</dcterms:created>
  <dc:creator>acer</dc:creator>
  <cp:lastModifiedBy>ds_ro</cp:lastModifiedBy>
  <dcterms:modified xsi:type="dcterms:W3CDTF">2023-11-23T06:39:35Z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F17F4AEF18614BA698B2F4F48B4C5220_12</vt:lpwstr>
  </property>
</Properties>
</file>