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DC1119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Утверждено</w:t>
      </w:r>
      <w:r w:rsidRPr="00DC1119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br/>
      </w:r>
      <w:r w:rsidRPr="00DC1119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приказом МБУ ДО «</w:t>
      </w:r>
      <w:proofErr w:type="spellStart"/>
      <w:r w:rsidRPr="00DC1119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Янтиковская</w:t>
      </w:r>
      <w:proofErr w:type="spellEnd"/>
      <w:r w:rsidRPr="00DC1119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ДШИ»</w:t>
      </w:r>
      <w:r w:rsidRPr="00DC1119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br/>
      </w:r>
      <w:proofErr w:type="spellStart"/>
      <w:r w:rsidRPr="00DC1119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Янтиковского</w:t>
      </w:r>
      <w:proofErr w:type="spellEnd"/>
      <w:r w:rsidRPr="00DC1119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 муниципального округа</w:t>
      </w:r>
      <w:r w:rsidRPr="00DC1119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br/>
        <w:t>от «23» февраля 2023 г.№ 5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DC111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Положение</w:t>
      </w:r>
      <w:r w:rsidRPr="00DC111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об оплате труда работников муниципального бюджетного учреждения дополнительного образования «</w:t>
      </w:r>
      <w:proofErr w:type="spellStart"/>
      <w:r w:rsidRPr="00DC111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Янтиковская</w:t>
      </w:r>
      <w:proofErr w:type="spellEnd"/>
      <w:r w:rsidRPr="00DC111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детская школа искусств»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C111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Янтиковского</w:t>
      </w:r>
      <w:proofErr w:type="spellEnd"/>
      <w:r w:rsidRPr="00DC111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муниципального округа Чувашской Республики 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0" w:name="sub_100"/>
      <w:r w:rsidRPr="00DC111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I. Общие положения</w:t>
      </w:r>
    </w:p>
    <w:bookmarkEnd w:id="0"/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 w:rsidRPr="00DC111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r w:rsidRPr="00DC1119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.1. Настоящее Положение об оплате труда работников муниципального бюджетного учреждения дополнительного образования «</w:t>
      </w:r>
      <w:proofErr w:type="spellStart"/>
      <w:r w:rsidRPr="00DC1119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Янтиковская</w:t>
      </w:r>
      <w:proofErr w:type="spellEnd"/>
      <w:r w:rsidRPr="00DC1119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 детская школа искусств»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proofErr w:type="spellStart"/>
      <w:r w:rsidRPr="00DC111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Янтиковского</w:t>
      </w:r>
      <w:proofErr w:type="spellEnd"/>
      <w:r w:rsidRPr="00DC111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муниципального округа Чувашской Республики </w:t>
      </w:r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(далее - Положение) включает в себя: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рекомендуемые минимальные размеры окладов (должностных окладов), ставок заработной платы работников муниципальных учреждений </w:t>
      </w:r>
      <w:proofErr w:type="spellStart"/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Янтиковского</w:t>
      </w:r>
      <w:proofErr w:type="spellEnd"/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муниципального округа, занятых в сфере образования (далее - учреждение), по профессиональным квалификационным группам (далее - ПКГ);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рекомендуемые размеры коэффициентов к окладам (ставкам);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наименование, условия и размеры выплат компенсационного характера в соответствии с перечнем видов выплат компенсационного характера в учреждениях;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наименование, условия осуществления выплат стимулирующего характера в соответствии с перечнем видов выплат стимулирующего характера в учреждениях;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условия оплаты труда руководителей учреждений.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" w:name="sub_117"/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Настоящее Положение для бюджетных и автономных учреждений </w:t>
      </w:r>
      <w:proofErr w:type="spellStart"/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Янтиковского</w:t>
      </w:r>
      <w:proofErr w:type="spellEnd"/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муниципального округа носит рекомендательный характер, для казенных учреждений </w:t>
      </w:r>
      <w:proofErr w:type="spellStart"/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Янтиковского</w:t>
      </w:r>
      <w:proofErr w:type="spellEnd"/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муниципального округа - обязательный характер.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" w:name="sub_12"/>
      <w:bookmarkEnd w:id="1"/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1.2. Условия оплаты труда, включая размер оклада (ставки) работника, коэффициенты к окладам (ставкам), выплаты компенсационного и стимулирующего характера, являются обязательными для включения в трудовой договор.</w:t>
      </w:r>
    </w:p>
    <w:bookmarkEnd w:id="2"/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Заработная плата работников учреждений максимальными размерами не ограничивается.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1.2.1. Расчетный среднемесячный уровень заработной платы работников учреждений не может превышать расчетный среднемесячный уровень оплаты труда муниципальных служащих </w:t>
      </w:r>
      <w:proofErr w:type="spellStart"/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Янтиковского</w:t>
      </w:r>
      <w:proofErr w:type="spellEnd"/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муниципального округа, работников, замещающих должности, не являющиеся должностями муниципальной службы </w:t>
      </w:r>
      <w:proofErr w:type="spellStart"/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Янтиковского</w:t>
      </w:r>
      <w:proofErr w:type="spellEnd"/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муниципального округа, и работников, осуществляющих профессиональную деятельность по профессиям рабочих, в органах местного самоуправления </w:t>
      </w:r>
      <w:proofErr w:type="spellStart"/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Янтиковского</w:t>
      </w:r>
      <w:proofErr w:type="spellEnd"/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муниципального округа, осуществляющих функции и полномочия учредителя учреждения (далее соответственно – гражданские служащие, работники органа местного самоуправления, орган местного самоуправления).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" w:name="sub_1212"/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Указанное в </w:t>
      </w:r>
      <w:hyperlink w:anchor="sub_121" w:history="1">
        <w:r w:rsidRPr="00DC111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абзаце первом</w:t>
        </w:r>
      </w:hyperlink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пункта условие применяется в отношении учреждений, осуществляющих исполнение муниципальных функций, наделенных в случаях, предусмотренных федеральными законами, полномочиями по осуществлению муниципальных функций, возложенных на органы местного самоуправления, а также </w:t>
      </w:r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обеспечивающих деятельность органов местного самоуправления (административно-хозяйственное, информационно-техническое и кадровое обеспечение, делопроизводство, бухгалтерский учет и отчетность).</w:t>
      </w:r>
    </w:p>
    <w:bookmarkEnd w:id="3"/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целях настоящего Положения расчетный среднемесячный уровень оплаты труда работников органа местного самоуправления определяется путем деления установленного объема бюджетных ассигнований на оплату труда гражданских служащих и работников органа местного самоуправления на установленную численность гражданских служащих и работников органа местного самоуправления и деления полученного результата на 12 (количество месяцев в году) и доводится органом местного самоуправления до руководителей учреждений, указанных в </w:t>
      </w:r>
      <w:hyperlink w:anchor="sub_1212" w:history="1">
        <w:r w:rsidRPr="00DC111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абзаце втором</w:t>
        </w:r>
      </w:hyperlink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пункта, ежегодно не позднее 31 декабря.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Расчетный среднемесячный уровень заработной платы работников учреждения, указанного в </w:t>
      </w:r>
      <w:hyperlink w:anchor="sub_1212" w:history="1">
        <w:r w:rsidRPr="00DC111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абзаце втором</w:t>
        </w:r>
      </w:hyperlink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пункта, определяется путем деления установленного объема бюджетных ассигнований на оплату труда работников учреждения на численность работников учреждения в соответствии с утвержденным штатным расписанием и деления полученного результата на 12 (количество месяцев в году).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" w:name="sub_13"/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1.3. Штатное расписание и тарификационный список педагогических работников учреждения утверждаются его руководителем и включают в себя все должности служащих (профессии рабочих) данного учреждения.</w:t>
      </w:r>
    </w:p>
    <w:bookmarkEnd w:id="4"/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Для выполнения работ, связанных с временным расширением объема оказываемых услуг, учреждение вправе осуществлять привлечение помимо работников, занимающих должности (профессии), предусмотренные штатным расписанием, иных работников на условиях срочного трудового договора с оплатой выполненной работы за счет средств, поступающих от приносящей доход деятельности.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1.4. Фонд оплаты труда работников автономного и бюджетного учреждения </w:t>
      </w:r>
      <w:proofErr w:type="spellStart"/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Янтиковского</w:t>
      </w:r>
      <w:proofErr w:type="spellEnd"/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муниципального округа формируется исходя из объема субсидий, поступающих в установленном порядке автономному и бюджетному учреждению </w:t>
      </w:r>
      <w:proofErr w:type="spellStart"/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Янтиковского</w:t>
      </w:r>
      <w:proofErr w:type="spellEnd"/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муниципального округа из бюджета </w:t>
      </w:r>
      <w:proofErr w:type="spellStart"/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Янтиковского</w:t>
      </w:r>
      <w:proofErr w:type="spellEnd"/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муниципального округа, и средств, поступающих от приносящей доход деятельности.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Фонд оплаты труда работников казенного учреждения </w:t>
      </w:r>
      <w:proofErr w:type="spellStart"/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Янтиковского</w:t>
      </w:r>
      <w:proofErr w:type="spellEnd"/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муниципального округа формируется исходя из объема бюджетных ассигнований на обеспечение выполнения функций казенного учреждения </w:t>
      </w:r>
      <w:proofErr w:type="spellStart"/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Янтиковского</w:t>
      </w:r>
      <w:proofErr w:type="spellEnd"/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муниципального округа и соответствующих лимитов бюджетных обязательств в части оплаты труда работников указанного учреждения.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случае оптимизации структуры и численности работников учреждения экономия фонда оплаты труда должна быть направлена на повышение заработной платы работников, отраженных в указах Президента Российской Федерации </w:t>
      </w:r>
      <w:hyperlink r:id="rId4" w:history="1">
        <w:r w:rsidRPr="00DC111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от 7 мая 2012 г. №597</w:t>
        </w:r>
      </w:hyperlink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«О мероприятиях по реализации государственной социальной политики», </w:t>
      </w:r>
      <w:hyperlink r:id="rId5" w:history="1">
        <w:r w:rsidRPr="00DC111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от 1 июня 2012 г. №61</w:t>
        </w:r>
      </w:hyperlink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«О Национальной стратегии действий в интересах детей на 2012 - 2017 годы», </w:t>
      </w:r>
      <w:hyperlink r:id="rId6" w:history="1">
        <w:r w:rsidRPr="00DC111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от 28 декабря 2012 г. №1688</w:t>
        </w:r>
      </w:hyperlink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«О некоторых мерах по реализации государственной политики в сфере защиты детей-сирот и детей, оставшихся без попечения родителей».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sub_15"/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1.5. Фонд оплаты труда работников учреждения состоит из базовой и стимулирующей частей фонда оплаты труда, а также выплат компенсационного характера:</w:t>
      </w:r>
    </w:p>
    <w:bookmarkEnd w:id="5"/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1119"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5C340C0B" wp14:editId="53BEF1A3">
            <wp:extent cx="1800225" cy="228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где: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1119"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5F48ECC7" wp14:editId="0BB08415">
            <wp:extent cx="428625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 базовая часть фонда оплаты труда работников учреждения;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1119"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0DC7E1CA" wp14:editId="482DB2C9">
            <wp:extent cx="466725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 стимулирующая часть фонда оплаты труда работников учреждения;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1119"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1C30AFE6" wp14:editId="12D8CD18">
            <wp:extent cx="190500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 выплаты компенсационного характера.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16"/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1.6. Система оплаты труда работников учреждений устанавливается с учетом:</w:t>
      </w:r>
    </w:p>
    <w:bookmarkEnd w:id="6"/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а) </w:t>
      </w:r>
      <w:hyperlink r:id="rId11" w:history="1">
        <w:r w:rsidRPr="00DC111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Единого тарифно-квалификационного справочника</w:t>
        </w:r>
      </w:hyperlink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работ и профессий рабочих, </w:t>
      </w:r>
      <w:hyperlink r:id="rId12" w:history="1">
        <w:r w:rsidRPr="00DC111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Единого квалификационного справочника</w:t>
        </w:r>
      </w:hyperlink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должностей руководителей, специалистов и служащих, профессиональных стандартов и иных нормативных правовых актов Правительства Российской Федерации;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163"/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б) обеспечения муниципальных гарантий по оплате труда;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164"/>
      <w:bookmarkEnd w:id="7"/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в) минимальных размеров окладов (ставок), коэффициентов к окладам (ставкам) по ПКГ;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165"/>
      <w:bookmarkEnd w:id="8"/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г) перечня видов выплат компенсационного характера в учреждениях;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" w:name="sub_166"/>
      <w:bookmarkEnd w:id="9"/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д) перечня видов выплат стимулирующего характера в учреждениях;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" w:name="sub_167"/>
      <w:bookmarkEnd w:id="10"/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е) иных обязательных выплат, установленных законодательством Российской Федерации, законодательством Чувашской Республики и нормативно-правовыми актами </w:t>
      </w:r>
      <w:proofErr w:type="spellStart"/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Янтиковского</w:t>
      </w:r>
      <w:proofErr w:type="spellEnd"/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муниципального округа в сфере оплаты труда;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" w:name="sub_168"/>
      <w:bookmarkEnd w:id="11"/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ж) рекомендаций Российской трехсторонней комиссии по регулированию социально-трудовых отношений и Республиканской трехсторонней комиссии по регулированию социально-трудовых отношений;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" w:name="sub_169"/>
      <w:bookmarkEnd w:id="12"/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з) мнения представительного органа работников учреждения;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" w:name="sub_1610"/>
      <w:bookmarkEnd w:id="13"/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и) настоящего Положения.</w:t>
      </w:r>
    </w:p>
    <w:bookmarkEnd w:id="14"/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1.7. Система оплаты труда работников учреждений устанавливается коллективными договорами, соглашениями, локальными нормативными актами в соответствии с </w:t>
      </w:r>
      <w:hyperlink r:id="rId13" w:history="1">
        <w:r w:rsidRPr="00DC111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трудовым законодательством</w:t>
        </w:r>
      </w:hyperlink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иными нормативными правовыми актами Российской Федерации, законодательством Чувашской Республики и нормативно-правовыми актами </w:t>
      </w:r>
      <w:proofErr w:type="spellStart"/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Янтиковского</w:t>
      </w:r>
      <w:proofErr w:type="spellEnd"/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муниципального округа, содержащими нормы трудового права, а также настоящим Положением.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" w:name="sub_18"/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1.8. Учреждение в пределах имеющихся у него средств на оплату труда работников самостоятельно определяет размеры доплат, надбавок, премий и других мер материального стимулирования.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" w:name="sub_19"/>
      <w:bookmarkEnd w:id="15"/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1.9. Оплата труда работников включает в себя размеры окладов (ставок) по ПКГ, коэффициенты к окладам (ставкам), выплаты компенсационного, стимулирующего характера к окладам (ставкам).</w:t>
      </w:r>
    </w:p>
    <w:bookmarkEnd w:id="16"/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1.10. Размеры окладов (ставок) устанавливаются в соответствии с </w:t>
      </w:r>
      <w:hyperlink w:anchor="sub_117" w:history="1">
        <w:r w:rsidRPr="00DC111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абзацем седьмым пункта 1.1</w:t>
        </w:r>
      </w:hyperlink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hyperlink w:anchor="sub_121" w:history="1">
        <w:r w:rsidRPr="00DC111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пунктом 1.2.1</w:t>
        </w:r>
      </w:hyperlink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Положения руководителем учреждения по квалификационным уровням ПКГ. Размеры выплат по коэффициентам определяются путем умножения размера оклада (ставки) по соответствующей ПКГ на величину коэффициента по соответствующему уровню ПКГ.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1.11. Размеры коэффициентов к окладам (ставкам) по ПКГ для соответствующих квалификационных уровней устанавливаются в соответствии с </w:t>
      </w:r>
      <w:hyperlink w:anchor="sub_117" w:history="1">
        <w:r w:rsidRPr="00DC111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абзацем седьмым пункта 1.1</w:t>
        </w:r>
      </w:hyperlink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hyperlink w:anchor="sub_121" w:history="1">
        <w:r w:rsidRPr="00DC111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пунктом 1.2.1</w:t>
        </w:r>
      </w:hyperlink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Положения руководителем учреждения.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" w:name="sub_1112"/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Размеры коэффициентов к окладам (ставкам) по соответствующим ПКГ рассчитываются на основе проведения дифференциации типовых должностей, включенных в штатное расписание по квалификационным уровням ПКГ. Должности, включенные в штатное расписание, должны соответствовать уставным целям учреждений и наименованиям профессий и должностей </w:t>
      </w:r>
      <w:hyperlink r:id="rId14" w:history="1">
        <w:r w:rsidRPr="00DC111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Единого тарифно-квалификационного справочника</w:t>
        </w:r>
      </w:hyperlink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работ и профессий рабочих и </w:t>
      </w:r>
      <w:hyperlink r:id="rId15" w:history="1">
        <w:r w:rsidRPr="00DC111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Единого квалификационного справочника</w:t>
        </w:r>
      </w:hyperlink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должностей руководителей, специалистов и служащих, а также иных нормативных правовых актов Правительства Российской Федерации, утверждающих номенклатуру должностей работников.</w:t>
      </w:r>
    </w:p>
    <w:bookmarkEnd w:id="17"/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Дифференциация типовых должностей осуществляется на основе оценки сложности трудовых функций, выполнение которых предусмотрено при занятии соответствующей должности, по соответствующей профессии и специальности.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8" w:name="sub_112"/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1.12. Оплата труда лиц, работающих по совместительству, а также оплата труда за работу в условиях, отклоняющихся от нормальных (при выполнении работ различной </w:t>
      </w:r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нормальных), осуществляются в соответствии с </w:t>
      </w:r>
      <w:hyperlink r:id="rId16" w:history="1">
        <w:r w:rsidRPr="00DC111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Трудовым кодексом</w:t>
        </w:r>
      </w:hyperlink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Федерации.</w:t>
      </w:r>
    </w:p>
    <w:bookmarkEnd w:id="18"/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1.13. Основной персонал учреждения - работники учреждения, непосредственно оказывающие услуги (выполняющие работы), направленные на достижение определенных уставом учреждения целей деятельности этого учреждения, а также их непосредственные руководители.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Вспомогательный персонал учреждения - работники учреждений, создающие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Административно-управленческий персонал учреждения - работники учреждения, занятые управлением (организацией) оказания услуг (выполнения работ), а также работники учреждения, выполняющие административные функции, необходимые для обеспечения деятельности учреждения.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9" w:name="sub_200"/>
      <w:r w:rsidRPr="00DC111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II. Порядок и условия оплаты труда педагогических работников и работников учебно-вспомогательного персонала</w:t>
      </w:r>
    </w:p>
    <w:bookmarkEnd w:id="19"/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2.1. </w:t>
      </w:r>
      <w:hyperlink r:id="rId17" w:history="1">
        <w:r w:rsidRPr="00DC111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Продолжительность рабочего времени</w:t>
        </w:r>
      </w:hyperlink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(нормы часов педагогической работы за ставку заработной платы) педагогических работников установлена </w:t>
      </w:r>
      <w:hyperlink r:id="rId18" w:history="1">
        <w:r w:rsidRPr="00DC111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приказом</w:t>
        </w:r>
      </w:hyperlink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Министерства образования Российской Федерации от 22 декабря 2014 г. №1601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(зарегистрирован в Министерстве юстиции Российской Федерации 25 февраля 2015 г., регистрационный №36204).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2.2. Рекомендуемые минимальные размеры окладов (ставок) педагогических работников и работников учебно-вспомогательного персонала дошкольных образовательных учреждений, общеобразовательных учреждений и учреждений дополнительного образования устанавливаются по профессиональным квалификационным группам должностей работников образования на основе отнесения занимаемых ими должностей к </w:t>
      </w:r>
      <w:hyperlink r:id="rId19" w:history="1">
        <w:r w:rsidRPr="00DC111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ПКГ</w:t>
        </w:r>
      </w:hyperlink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утвержденным </w:t>
      </w:r>
      <w:hyperlink r:id="rId20" w:history="1">
        <w:r w:rsidRPr="00DC111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приказом</w:t>
        </w:r>
      </w:hyperlink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Министерства здравоохранения и социального развития Российской Федерации от 5 мая 2008 г. №216н «Об утверждении профессиональных квалификационных групп должностей работников образования» (зарегистрирован в Министерстве юстиции Российской Федерации 22 мая 2008 г., регистрационный №11731):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3930"/>
        <w:gridCol w:w="2451"/>
      </w:tblGrid>
      <w:tr w:rsidR="00DC1119" w:rsidRPr="00DC1119" w:rsidTr="00887670">
        <w:tblPrEx>
          <w:tblCellMar>
            <w:top w:w="0" w:type="dxa"/>
            <w:bottom w:w="0" w:type="dxa"/>
          </w:tblCellMar>
        </w:tblPrEx>
        <w:trPr>
          <w:trHeight w:val="1103"/>
        </w:trPr>
        <w:tc>
          <w:tcPr>
            <w:tcW w:w="3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19" w:rsidRPr="00DC1119" w:rsidRDefault="00DC1119" w:rsidP="00DC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" w:name="sub_230"/>
            <w:r w:rsidRPr="00DC11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Профессиональные квалификационные группы должностей</w:t>
            </w:r>
            <w:bookmarkEnd w:id="20"/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19" w:rsidRPr="00DC1119" w:rsidRDefault="00DC1119" w:rsidP="00DC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11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119" w:rsidRPr="00DC1119" w:rsidRDefault="00DC1119" w:rsidP="00DC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11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Рекомендуемый минимальный размер оклада (ставки),</w:t>
            </w:r>
          </w:p>
          <w:p w:rsidR="00DC1119" w:rsidRPr="00DC1119" w:rsidRDefault="00DC1119" w:rsidP="00DC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11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рублей</w:t>
            </w:r>
          </w:p>
        </w:tc>
      </w:tr>
      <w:tr w:rsidR="00DC1119" w:rsidRPr="00DC1119" w:rsidTr="0088767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19" w:rsidRPr="00DC1119" w:rsidRDefault="00DC1119" w:rsidP="00DC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11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19" w:rsidRPr="00DC1119" w:rsidRDefault="00DC1119" w:rsidP="00DC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11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119" w:rsidRPr="00DC1119" w:rsidRDefault="00DC1119" w:rsidP="00DC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11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DC1119" w:rsidRPr="00DC1119" w:rsidTr="0088767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084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DC1119" w:rsidRPr="00DC1119" w:rsidRDefault="00DC1119" w:rsidP="00DC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1" w:name="sub_2303"/>
            <w:r w:rsidRPr="00DC11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Профессиональная квалификационная группа должностей педагогических работников</w:t>
            </w:r>
            <w:bookmarkEnd w:id="21"/>
          </w:p>
        </w:tc>
        <w:tc>
          <w:tcPr>
            <w:tcW w:w="3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1119" w:rsidRPr="00DC1119" w:rsidRDefault="00DC1119" w:rsidP="00DC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11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nil"/>
            </w:tcBorders>
          </w:tcPr>
          <w:p w:rsidR="00DC1119" w:rsidRPr="00DC1119" w:rsidRDefault="00DC1119" w:rsidP="00DC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11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8533</w:t>
            </w:r>
          </w:p>
        </w:tc>
      </w:tr>
      <w:tr w:rsidR="00DC1119" w:rsidRPr="00DC1119" w:rsidTr="0088767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0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C1119" w:rsidRPr="00DC1119" w:rsidRDefault="00DC1119" w:rsidP="00DC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1119" w:rsidRPr="00DC1119" w:rsidRDefault="00DC1119" w:rsidP="00DC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11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nil"/>
            </w:tcBorders>
          </w:tcPr>
          <w:p w:rsidR="00DC1119" w:rsidRPr="00DC1119" w:rsidRDefault="00DC1119" w:rsidP="00DC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11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8533</w:t>
            </w:r>
          </w:p>
        </w:tc>
      </w:tr>
      <w:tr w:rsidR="00DC1119" w:rsidRPr="00DC1119" w:rsidTr="0088767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0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C1119" w:rsidRPr="00DC1119" w:rsidRDefault="00DC1119" w:rsidP="00DC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1119" w:rsidRPr="00DC1119" w:rsidRDefault="00DC1119" w:rsidP="00DC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11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nil"/>
            </w:tcBorders>
          </w:tcPr>
          <w:p w:rsidR="00DC1119" w:rsidRPr="00DC1119" w:rsidRDefault="00DC1119" w:rsidP="00DC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11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8533</w:t>
            </w:r>
          </w:p>
        </w:tc>
      </w:tr>
      <w:tr w:rsidR="00DC1119" w:rsidRPr="00DC1119" w:rsidTr="0088767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0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C1119" w:rsidRPr="00DC1119" w:rsidRDefault="00DC1119" w:rsidP="00DC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1119" w:rsidRPr="00DC1119" w:rsidRDefault="00DC1119" w:rsidP="00DC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11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nil"/>
            </w:tcBorders>
          </w:tcPr>
          <w:p w:rsidR="00DC1119" w:rsidRPr="00DC1119" w:rsidRDefault="00DC1119" w:rsidP="00DC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11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9365</w:t>
            </w:r>
          </w:p>
        </w:tc>
      </w:tr>
    </w:tbl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2.3. К размерам окладов (ставок) предусматривается установление следующих коэффициентов: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коэффициент за выслугу лет;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коэффициент за квалификационную категорию;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персональный коэффициент;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Размер выплат по коэффициенту определяется путем умножения размера оклада (ставки) работника на коэффициент.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2" w:name="sub_267"/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Рекомендуемые размеры и иные условия применения коэффициентов к размерам окладов (ставок) приведены в пунктах 2.4-2.7 настоящего Положения.</w:t>
      </w:r>
    </w:p>
    <w:bookmarkEnd w:id="22"/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2.4. Коэффициент за выслугу лет устанавливается работникам учреждения в зависимости от общего количества лет, проработанных в учреждениях образования со дня достижения соответствующего стажа, если документы находятся в учреждении, или со дня представления документа о стаже.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Рекомендуемые размеры коэффициента за выслугу лет работникам учреждений образования, не являющимся молодыми специалистами: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 2 до 5 лет - 0,10;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 5 до 10 лет - 0,15;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 10 до 20 лет - 0,25;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свыше 20 лет - 0,30.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3" w:name="sub_277"/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Рекомендуемый размер коэффициента за выслугу лет работникам учреждений образования, являющимся молодыми специалистами, до наступления стажа работы три года - 1,0. Рекомендуемый размер коэффициента за выслугу лет работникам учреждений образования, являющимся молодыми специалистами, имеющим диплом бакалавра (специалиста, магистра) с отличием или диплом о среднем профессиональном образовании с отличием, до наступления стажа работы три года - 1,25.</w:t>
      </w:r>
    </w:p>
    <w:bookmarkEnd w:id="23"/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Коэффициент за выслугу лет применяется при оплате труда педагогических работников за установленную учебную нагрузку при тарификации.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Применение коэффициента за выслугу лет не учитывается при начислении иных стимулирующих и компенсационных выплат, устанавливаемых в процентном отношении к размеру оклада (ставки).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4" w:name="sub_2715"/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 молодым специалистам в целях реализации настоящего Положения относятся выпускники профессиональных образовательных организаций, образовательных организаций высшего образования очной, очно-заочной (вечерней) и заочной форм обучения в возрасте до 35 лет, принятые на работу в учреждения в течение трех лет со дня выдачи документов о соответствующем образовании и (или) квалификации. Право молодого специалиста на получение размера оклада (ставки) с учетом установленного коэффициента действует в течение трех лет со дня заключения им трудового договора с учреждением.</w:t>
      </w:r>
    </w:p>
    <w:bookmarkEnd w:id="24"/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указанный период не включается срок, в течение которого молодой специалист был призван на военную службу или направлен на заменяющую ее альтернативную гражданскую службу, направлен на обучение, повышение квалификации или стажировку с отрывом от работы, находился в отпуске по уходу за ребенком до достижения им возраста трех лет.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Право молодого специалиста на получение размера оклада (ставки) с учетом установленного коэффициента утрачивается в следующих случаях: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расторжение трудового договора по инициативе молодого специалиста;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расторжение трудового договора по инициативе работодателя за виновные действия молодого специалиста по основаниям, предусмотренным </w:t>
      </w:r>
      <w:hyperlink r:id="rId21" w:history="1">
        <w:r w:rsidRPr="00DC111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трудовым законодательством</w:t>
        </w:r>
      </w:hyperlink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Федерации.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5" w:name="sub_28"/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2.5. Коэффициент за квалификационную категорию устанавливается работникам учреждения с целью стимулирования их к качественному результату труда на основе повышения профессиональной квалификации и компетентности, инновационной деятельности со дня вынесения решения аттестационной комиссией.</w:t>
      </w:r>
    </w:p>
    <w:bookmarkEnd w:id="25"/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Рекомендуемые размеры коэффициента: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0,25 - при наличии высшей квалификационной категории;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0,15 - при наличии первой квалификационной категории.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Коэффициент за квалификационную категорию применяется при оплате труда педагогических работников за установленную учебную нагрузку при тарификации.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Применение коэффициента за квалификационную категорию не учитывается при начислении иных стимулирующих и компенсационных выплат, устанавливаемых в процентном отношении к размеру оклада (ставки).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2.6. Педагогическим работникам, работникам учебно-вспомогательного персонала, руководителям структурных подразделений учреждения устанавливается персональный коэффициент в зависимости от отнесения должности к квалификационному уровню ПКГ за выполнение дополнительных видов работ, непосредственно связанных с образовательной деятельностью, выполняемых по их письменному согласию. К таким видам работ относятся проверка письменных работ, руководство методическими объединениями, заведование учебными кабинетами.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Рекомендуемые размеры персональных коэффициентов: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9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2"/>
        <w:gridCol w:w="4211"/>
        <w:gridCol w:w="2173"/>
      </w:tblGrid>
      <w:tr w:rsidR="00DC1119" w:rsidRPr="00DC1119" w:rsidTr="00887670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3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19" w:rsidRPr="00DC1119" w:rsidRDefault="00DC1119" w:rsidP="00DC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11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Профессиональные квалификационные группы должностей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19" w:rsidRPr="00DC1119" w:rsidRDefault="00DC1119" w:rsidP="00DC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11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119" w:rsidRPr="00DC1119" w:rsidRDefault="00DC1119" w:rsidP="00DC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11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Размеры коэффициентов к окладам (ставкам)</w:t>
            </w:r>
          </w:p>
        </w:tc>
      </w:tr>
      <w:tr w:rsidR="00DC1119" w:rsidRPr="00DC1119" w:rsidTr="0088767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19" w:rsidRPr="00DC1119" w:rsidRDefault="00DC1119" w:rsidP="00DC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11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19" w:rsidRPr="00DC1119" w:rsidRDefault="00DC1119" w:rsidP="00DC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11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119" w:rsidRPr="00DC1119" w:rsidRDefault="00DC1119" w:rsidP="00DC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11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DC1119" w:rsidRPr="00DC1119" w:rsidTr="0088767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5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19" w:rsidRPr="00DC1119" w:rsidRDefault="00DC1119" w:rsidP="00DC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11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Профессиональная квалификационная группа должностей педагогических работников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19" w:rsidRPr="00DC1119" w:rsidRDefault="00DC1119" w:rsidP="00DC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11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119" w:rsidRPr="00DC1119" w:rsidRDefault="00DC1119" w:rsidP="00DC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11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 0,12</w:t>
            </w:r>
          </w:p>
        </w:tc>
      </w:tr>
      <w:tr w:rsidR="00DC1119" w:rsidRPr="00DC1119" w:rsidTr="0088767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19" w:rsidRPr="00DC1119" w:rsidRDefault="00DC1119" w:rsidP="00DC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19" w:rsidRPr="00DC1119" w:rsidRDefault="00DC1119" w:rsidP="00DC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11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119" w:rsidRPr="00DC1119" w:rsidRDefault="00DC1119" w:rsidP="00DC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11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 0,15</w:t>
            </w:r>
          </w:p>
        </w:tc>
      </w:tr>
      <w:tr w:rsidR="00DC1119" w:rsidRPr="00DC1119" w:rsidTr="0088767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19" w:rsidRPr="00DC1119" w:rsidRDefault="00DC1119" w:rsidP="00DC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19" w:rsidRPr="00DC1119" w:rsidRDefault="00DC1119" w:rsidP="00DC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11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119" w:rsidRPr="00DC1119" w:rsidRDefault="00DC1119" w:rsidP="00DC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11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 0,18</w:t>
            </w:r>
          </w:p>
        </w:tc>
      </w:tr>
      <w:tr w:rsidR="00DC1119" w:rsidRPr="00DC1119" w:rsidTr="0088767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19" w:rsidRPr="00DC1119" w:rsidRDefault="00DC1119" w:rsidP="00DC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19" w:rsidRPr="00DC1119" w:rsidRDefault="00DC1119" w:rsidP="00DC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11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119" w:rsidRPr="00DC1119" w:rsidRDefault="00DC1119" w:rsidP="00DC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11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 0,20</w:t>
            </w:r>
          </w:p>
        </w:tc>
      </w:tr>
    </w:tbl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6" w:name="sub_300"/>
      <w:r w:rsidRPr="00DC111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Решение об установлении персонального коэффициента и его размерах принимается руководителем Учреждения персонально в отношении каждого работника. Персональный коэффициент не применяется при оплате труда педагогических работников за установленную при тарификации учебную нагрузку (педагогическую работу).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11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Применение персонального коэффициента не учитывается при начислении иных стимулирующих и компенсационных выплат, устанавливаемых в процентном отношении к размеру оклада (ставки).</w:t>
      </w:r>
    </w:p>
    <w:p w:rsidR="00DC1119" w:rsidRPr="00DC1119" w:rsidRDefault="00DC1119" w:rsidP="00DC1119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11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2.7. Оплата труда педагогических работников Учреждения за установленную при тарификации учебную нагрузку (педагогическую работу) производится исходя из установленных размеров окладов (ставок) с учетом повышений размеров окладов (ставок) за работу в Учреждении, указанной в </w:t>
      </w:r>
      <w:hyperlink r:id="rId22" w:anchor="Par767" w:history="1">
        <w:r w:rsidRPr="00DC111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пункте 4.2</w:t>
        </w:r>
      </w:hyperlink>
      <w:r w:rsidRPr="00DC11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Положения, выплат по коэффициенту за выслугу лет, коэффициенту за квалификационную категорию.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11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Исчисление месячной заработной платы педагогических работников за установленную при тарификации учебную нагрузку (педагогическую работу) осуществляется следующим образом: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11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размер оклада (ставки) повышается за работу в Учреждении, указанной в </w:t>
      </w:r>
      <w:hyperlink r:id="rId23" w:anchor="Par767" w:history="1">
        <w:r w:rsidRPr="00DC111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пункте 4.2</w:t>
        </w:r>
      </w:hyperlink>
      <w:r w:rsidRPr="00DC11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Положения;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111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полученным размером оклада (ставки) суммируются размеры выплат по коэффициенту за выслугу лет, коэффициенту за квалификационную категорию.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11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2.8. С учетом условий труда педагогическим работникам устанавливаются выплаты компенсационного характера, предусмотренные </w:t>
      </w:r>
      <w:hyperlink r:id="rId24" w:anchor="Par757" w:history="1">
        <w:r w:rsidRPr="00DC111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разделом I</w:t>
        </w:r>
      </w:hyperlink>
      <w:r w:rsidRPr="00DC1119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V</w:t>
      </w:r>
      <w:r w:rsidRPr="00DC11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11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2.9. Педагогическим работникам выплачиваются премии и другие выплаты стимулирующего характера, предусмотренные </w:t>
      </w:r>
      <w:hyperlink r:id="rId25" w:anchor="Par1118" w:history="1">
        <w:r w:rsidRPr="00DC111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разделом V</w:t>
        </w:r>
      </w:hyperlink>
      <w:r w:rsidRPr="00DC11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C1119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ru-RU"/>
        </w:rPr>
        <w:t>III</w:t>
      </w:r>
      <w:r w:rsidRPr="00DC111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 Условия оплаты труда руководителя Учреждения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111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3.1. Заработная плата руководителя Учреждения состоит из должностного оклада, выплат компенсационного и стимулирующего характера.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111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Размер должностного оклада руководителя Учреждения определяется трудовым договором в зависимости от сложности труда, в том числе с учетом масштаба управления и особенностей деятельности и значимости Учреждения.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11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Установление размера должностного оклада руководителя Учреждения на календарный год осуществляется ежегодно распоряжением администрации </w:t>
      </w:r>
      <w:proofErr w:type="spellStart"/>
      <w:r w:rsidRPr="00DC1119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Янтиковского</w:t>
      </w:r>
      <w:proofErr w:type="spellEnd"/>
      <w:r w:rsidRPr="00DC11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округа.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11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3.2. Администрация </w:t>
      </w:r>
      <w:proofErr w:type="spellStart"/>
      <w:r w:rsidRPr="00DC1119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Янтиковского</w:t>
      </w:r>
      <w:proofErr w:type="spellEnd"/>
      <w:r w:rsidRPr="00DC11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округа устанавливает руководителю Учреждения выплаты стимулирующего характера.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11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Руководителю Учреждения выплаты стимулирующего характера выплачиваются  по решению администрации </w:t>
      </w:r>
      <w:proofErr w:type="spellStart"/>
      <w:r w:rsidRPr="00DC1119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Янтиковского</w:t>
      </w:r>
      <w:proofErr w:type="spellEnd"/>
      <w:r w:rsidRPr="00DC11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округа с учетом достижения показателей муниципального задания на оказание муниципальных услуг (выполнение работ), а также иных показателей эффективности деятельности Учреждения и его руководителя.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111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Руководителю Учреждения к должностному окладу доплаты и надбавки за интенсивность и напряженность выполняемых ими работ не устанавливаются.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11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Ежемесячные выплаты стимулирующего характера за качество выполняемых работ по результатам оценки выполнения утвержденных критериев и показателей деятельности работников Учреждения, установленные </w:t>
      </w:r>
      <w:hyperlink w:anchor="Par1136" w:history="1">
        <w:r w:rsidRPr="00DC111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подпунктом «а» пункта 5.3</w:t>
        </w:r>
      </w:hyperlink>
      <w:r w:rsidRPr="00DC11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Положения, руководителю Учреждения не устанавливаются.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11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3.3. С учетом условий труда руководителю Учреждения устанавливаются выплаты компенсационного характера, предусмотренные </w:t>
      </w:r>
      <w:hyperlink w:anchor="Par757" w:history="1">
        <w:r w:rsidRPr="00DC111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разделом </w:t>
        </w:r>
      </w:hyperlink>
      <w:r w:rsidRPr="00DC1119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IV</w:t>
      </w:r>
      <w:r w:rsidRPr="00DC11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DC1119" w:rsidRPr="00DC1119" w:rsidRDefault="00DC1119" w:rsidP="00DC111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C111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3.4. Предельный уровень соотношения среднемесячной заработной платы руководителя Учреждения и среднемесячной заработной платы работников Учреждения (без учета заработной платы руководителя Учреждения) определяется нормативно-правовым актом администрации </w:t>
      </w:r>
      <w:proofErr w:type="spellStart"/>
      <w:r w:rsidRPr="00DC111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Янтиковского</w:t>
      </w:r>
      <w:proofErr w:type="spellEnd"/>
      <w:r w:rsidRPr="00DC111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 в кратности от 1 до 4.</w:t>
      </w:r>
    </w:p>
    <w:p w:rsidR="00DC1119" w:rsidRPr="00DC1119" w:rsidRDefault="00DC1119" w:rsidP="00DC111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C111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Соотношение среднемесячной заработной платы руководителя Учреждения и среднемесячной заработной платы работников Учреждения, формируемой за счет всех источников финансового обеспечения, рассчитывается за календарный год. Соотношение среднемесячной заработной платы руководителя Учреждения и среднемесячной заработной платы работников Учреждения определяется путем деления среднемесячной заработной платы руководителя на среднемесячную заработную плату работников Учреждения.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платы, утвержденным постановлением Правительства Российской Федерации от 24 декабря 2007 года № 922 «Об особенностях порядка исчисления средней заработной платы».</w:t>
      </w:r>
    </w:p>
    <w:p w:rsidR="00DC1119" w:rsidRPr="00DC1119" w:rsidRDefault="00DC1119" w:rsidP="00DC111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C111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Размещение информации о рассчитываемой за календарный год среднемесячной заработной плате руководителя  Учреждения в информационно-телекоммуникационной сети «Интернет» и представление указанным лицом данной информации осуществляются в порядке, установленном администрацией </w:t>
      </w:r>
      <w:proofErr w:type="spellStart"/>
      <w:r w:rsidRPr="00DC111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Янтиковского</w:t>
      </w:r>
      <w:proofErr w:type="spellEnd"/>
      <w:r w:rsidRPr="00DC111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округа.</w:t>
      </w:r>
    </w:p>
    <w:p w:rsidR="00DC1119" w:rsidRPr="00DC1119" w:rsidRDefault="00DC1119" w:rsidP="00DC111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C111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При установлении условий оплаты труда руководителю Учреждения администрация </w:t>
      </w:r>
      <w:proofErr w:type="spellStart"/>
      <w:r w:rsidRPr="00DC111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Янтиковского</w:t>
      </w:r>
      <w:proofErr w:type="spellEnd"/>
      <w:r w:rsidRPr="00DC111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 должна исходить из необходимости обеспечения </w:t>
      </w:r>
      <w:proofErr w:type="spellStart"/>
      <w:r w:rsidRPr="00DC111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непревышения</w:t>
      </w:r>
      <w:proofErr w:type="spellEnd"/>
      <w:r w:rsidRPr="00DC111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предельного уровня соотношения среднемесячной заработной платы, установленного в соответствии с абзацем первым настоящего пункта, в случае выполнения всех показателей эффективности деятельности Учреждения и работы его руководителя и получения выплат стимулирующего характера в максимальном размере.</w:t>
      </w:r>
    </w:p>
    <w:p w:rsidR="00DC1119" w:rsidRPr="00DC1119" w:rsidRDefault="00DC1119" w:rsidP="00DC111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C111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3.5. Условия оплаты труда руководителя Учреждения устанавливаются в трудовом договоре, заключаемом на основе типовой формы трудового договора с руководителем государственного (муниципального) учреждения</w:t>
      </w:r>
      <w:r w:rsidRPr="00DC1119"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lang w:eastAsia="ru-RU"/>
        </w:rPr>
        <w:t>,</w:t>
      </w:r>
      <w:r w:rsidRPr="00DC111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утвержденной постановлением </w:t>
      </w:r>
      <w:r w:rsidRPr="00DC111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Правительства Российской Федерации от 12 апреля 2013 года № 329 «О типовой форме трудового договора с руководителем муниципального учреждения».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bookmarkEnd w:id="26"/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27" w:name="Par1118"/>
      <w:bookmarkEnd w:id="27"/>
      <w:r w:rsidRPr="00DC1119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ru-RU"/>
        </w:rPr>
        <w:t>I</w:t>
      </w:r>
      <w:r w:rsidRPr="00DC111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V. Порядок и условия установления выплат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C111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стимулирующего характера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C1119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4.1. </w:t>
      </w:r>
      <w:r w:rsidRPr="00DC111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Размеры и условия осуществления выплат стимулирующего характера устанавливаются</w:t>
      </w:r>
      <w:r w:rsidRPr="00DC111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DC111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соответствии с пунктом 1.2.1 настоящего Положения, коллективным договором, соглашениями, локальными нормативными актами, трудовыми договорами с учетом разрабатываемых в Учреждении показателей и критериев оценки эффективности труда работников Учреждения.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11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Учреждении устанавливаются следующие виды выплат стимулирующего характера: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11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выплаты за интенсивность и высокие результаты работы;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11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выплаты за качество выполняемых работ;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11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премиальные выплаты по итогам работы.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1119">
        <w:rPr>
          <w:rFonts w:ascii="Times New Roman" w:eastAsiaTheme="minorEastAsia" w:hAnsi="Times New Roman" w:cs="Times New Roman"/>
          <w:sz w:val="24"/>
          <w:szCs w:val="24"/>
          <w:lang w:eastAsia="ru-RU"/>
        </w:rPr>
        <w:t>4.2. Выплаты за интенсивность и высокие результаты работы производятся работникам Учреждения за: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11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интенсивность и напряженность работы, связанной со спецификой контингента и большим разнообразием развивающих программ, в том числе за работу с детьми из социально неблагополучных семей, за работу с детьми с ограниченными возможностями здоровья;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11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особый режим работы;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11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непосредственное участие в реализации приоритетных национальных проектов, государственных программ Российской Федерации, государственных программ Чувашской Республики и муниципальных программ развития образования;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11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организацию и проведение мероприятий, направленных на повышение авторитета и имиджа Учреждения.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11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Выплаты за интенсивность и высокие результаты работы устанавливаются приказом руководителя Учреждения. Размер выплат может устанавливаться как в абсолютном значении, так и в процентном отношении к окладу (ставке). Максимальным размером выплата за интенсивность и высокие результаты работы не ограничена.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111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Руководителю Учреждения доплаты и надбавки за интенсивность и напряженность выполняемых ими работ не устанавливаются.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1119">
        <w:rPr>
          <w:rFonts w:ascii="Times New Roman" w:eastAsiaTheme="minorEastAsia" w:hAnsi="Times New Roman" w:cs="Times New Roman"/>
          <w:sz w:val="24"/>
          <w:szCs w:val="24"/>
          <w:lang w:eastAsia="ru-RU"/>
        </w:rPr>
        <w:t>4.3. Выплаты стимулирующего характера за качество выполняемых работ выплачиваются: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32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8" w:name="Par1136"/>
      <w:bookmarkEnd w:id="28"/>
      <w:r w:rsidRPr="00DC11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 </w:t>
      </w:r>
      <w:r w:rsidRPr="00DC111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 результатам оценки выполнения утвержденных показателей и критериев оценки эффективности труда работников Учреждения. Показатели и критерии оценки эффективности труда работников Учреждения утверждаются руководителем Учреждения в разрезе должностей по согласованию с органом общественного самоуправления и профсоюзной организацией Учреждения (или иным органом, представляющим интересы всех или большинства работников учреждения);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32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9" w:name="Par1137"/>
      <w:bookmarkEnd w:id="29"/>
      <w:r w:rsidRPr="00DC11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 лицам, награжденным государственными наградами, почетными званиями, нагрудными знаками "Почетный работник воспитания и просвещения Российской Федерации", «Почетный работник общего образования Российской Федерации», значком «Отличник народного просвещения» – надбавка до 25 процентов к окладу (ставке) (размеры и условия выплаты надбавок определяются локальными нормативными актами Учреждения).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32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11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Надбавки за государственные награды, почетные звания выплачиваются при условии соответствия профилю деятельности. При наличии у работника более одного основания для установления надбавки за государственные награды, почетные звания, нагрудные знаки </w:t>
      </w:r>
      <w:r w:rsidRPr="00DC111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выплата надбавки осуществляется по основанию, дающему право на получение большей по размеру надбавки. 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32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11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4.4. Решение об осуществлении выплат стимулирующего характера за качество выполняемых работ руководителю Учреждения принимается администрацией </w:t>
      </w:r>
      <w:proofErr w:type="spellStart"/>
      <w:r w:rsidRPr="00DC1119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Янтиковского</w:t>
      </w:r>
      <w:proofErr w:type="spellEnd"/>
      <w:r w:rsidRPr="00DC11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округа, другим работникам - руководителем Учреждения по согласованию с органом общественного самоуправления и профсоюзной организацией.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32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11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4.5. Порядок, размеры и условия премирования работников Учреждения по итогам работы определяются локальными нормативными актами Учреждения. Порядок, размеры и условия премирования руководителя Учреждения по итогам работы утверждаются нормативно-правовыми актами </w:t>
      </w:r>
      <w:proofErr w:type="spellStart"/>
      <w:r w:rsidRPr="00DC1119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Янтиковского</w:t>
      </w:r>
      <w:proofErr w:type="spellEnd"/>
      <w:r w:rsidRPr="00DC11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округа.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32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111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Размеры премиальных выплат по итогам работы могут определяться как в процентах к окладу (ставке) по соответствующим квалификационным уровням ПКГ работника, так и в абсолютном размере. Размер премиальных выплат по итогам работы не ограничен.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DC111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val="en-US" w:eastAsia="ru-RU"/>
        </w:rPr>
        <w:t>V</w:t>
      </w:r>
      <w:r w:rsidRPr="00DC111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. Другие вопросы оплаты труда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0" w:name="sub_711"/>
      <w:r w:rsidRPr="00DC1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5.1. Из средств фонда оплаты труда работникам Учреждения может быть оказана материальная помощь. Условия выплаты материальной помощи и ее конкретные размеры устанавливаются локальным нормативным актом Учреждения.</w:t>
      </w:r>
    </w:p>
    <w:bookmarkEnd w:id="30"/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C1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Материальная помощь выплачивается работникам Учреждения и руководителю Учреждения в случае смерти близких родственников, в случаях, вызванных чрезвычайными обстоятельствами (пожар, кража, необходимость в платном лечении или приобретении дорогостоящих лекарств при хронических заболеваниях (по представлении подтверждающих документов), и в иных случаях, установленных локальным нормативным актом Учреждения.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C1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Решение об оказании материальной помощи работнику и ее конкретных размерах принимает руководитель Учреждения на основании письменного заявления работника.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C1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Материальная помощь руководителю Учреждения оказывается на основании распоряжения администрации </w:t>
      </w:r>
      <w:proofErr w:type="spellStart"/>
      <w:r w:rsidRPr="00DC1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Янтиковского</w:t>
      </w:r>
      <w:proofErr w:type="spellEnd"/>
      <w:r w:rsidRPr="00DC1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округа.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C1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5.2. Из средств фонда оплаты труда педагогическим работникам, являющимся молодыми специалистами, принятым на работу с 1 июня 2016 г., однократно выплачивается единовременное денежное пособие в размере 10 окладов (ставок) (далее - единовременное денежное пособие).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C1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Решение о предоставлении единовременного денежного пособия принимает руководитель Учреждения на основании письменного заявления педагогического работника, являющегося молодым специалистом.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C1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Педагогический работник, являющийся молодым специалистом, вправе обратиться с заявлением о предоставлении единовременного денежного пособия по истечении одного года и не позднее трех лет со дня заключения им трудового договора с Учреждением.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C1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Единовременное денежное пособие предоставляется педагогическому работнику, являющемуся молодым специалистом, при условии осуществления им трудовой деятельности по основному месту работы в данном Учреждении в течение трех лет с учетом периода, отработанного до получения единовременного денежного пособия.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C1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Педагогический работник, являющийся молодым специалистом, обязан возвратить часть единовременного денежного пособия, рассчитанную с даты прекращения трудового договора пропорционально неотработанному периоду, в случае прекращения трудового договора до истечения трехлетнего срока (за исключением случаев прекращения трудового договора по основаниям, предусмотренным </w:t>
      </w:r>
      <w:hyperlink r:id="rId26" w:history="1">
        <w:r w:rsidRPr="00DC1119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пунктом 8 части первой статьи 77</w:t>
        </w:r>
      </w:hyperlink>
      <w:r w:rsidRPr="00DC1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hyperlink r:id="rId27" w:history="1">
        <w:r w:rsidRPr="00DC1119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пунктами 1</w:t>
        </w:r>
      </w:hyperlink>
      <w:r w:rsidRPr="00DC1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</w:t>
      </w:r>
      <w:hyperlink r:id="rId28" w:history="1">
        <w:r w:rsidRPr="00DC1119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2 части первой статьи 81</w:t>
        </w:r>
      </w:hyperlink>
      <w:r w:rsidRPr="00DC1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hyperlink r:id="rId29" w:history="1">
        <w:r w:rsidRPr="00DC1119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пунктами 1</w:t>
        </w:r>
      </w:hyperlink>
      <w:r w:rsidRPr="00DC1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hyperlink r:id="rId30" w:history="1">
        <w:r w:rsidRPr="00DC1119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2</w:t>
        </w:r>
      </w:hyperlink>
      <w:r w:rsidRPr="00DC1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hyperlink r:id="rId31" w:history="1">
        <w:r w:rsidRPr="00DC1119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5-7 части первой статьи 83</w:t>
        </w:r>
      </w:hyperlink>
      <w:r w:rsidRPr="00DC11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Трудового кодекса Российской Федерации) в течение 20 рабочих дней с даты его прекращения.</w:t>
      </w:r>
    </w:p>
    <w:p w:rsidR="00DC1119" w:rsidRPr="00DC1119" w:rsidRDefault="00DC1119" w:rsidP="00DC1119">
      <w:pPr>
        <w:keepNext/>
        <w:widowControl w:val="0"/>
        <w:autoSpaceDE w:val="0"/>
        <w:autoSpaceDN w:val="0"/>
        <w:adjustRightInd w:val="0"/>
        <w:spacing w:after="0" w:line="232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DC1119" w:rsidRPr="00DC1119" w:rsidRDefault="00DC1119" w:rsidP="00DC1119">
      <w:pPr>
        <w:keepNext/>
        <w:widowControl w:val="0"/>
        <w:autoSpaceDE w:val="0"/>
        <w:autoSpaceDN w:val="0"/>
        <w:adjustRightInd w:val="0"/>
        <w:spacing w:after="0" w:line="232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C111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V</w:t>
      </w:r>
      <w:r w:rsidRPr="00DC1119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ru-RU"/>
        </w:rPr>
        <w:t>I</w:t>
      </w:r>
      <w:r w:rsidRPr="00DC111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 Гарантии по оплате труда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</w:t>
      </w:r>
      <w:hyperlink r:id="rId32" w:history="1">
        <w:r w:rsidRPr="00DC111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минимального размера оплаты труда</w:t>
        </w:r>
      </w:hyperlink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устанавливаемого законодательством Российской Федерации.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случае если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окажется ниже </w:t>
      </w:r>
      <w:hyperlink r:id="rId33" w:history="1">
        <w:r w:rsidRPr="00DC111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минимального размера оплаты труда</w:t>
        </w:r>
      </w:hyperlink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установленного в соответствии с законодательством Российской Федерации, то ему устанавливается доплата, обеспечивающая оплату труда работника не ниже установленного минимального размера оплаты труда.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Ответственность за своевременное и правильное установление работникам учреждения соответствующего размера оклада (ставки) возлагается на руководителя учреждения в соответствии с </w:t>
      </w:r>
      <w:hyperlink r:id="rId34" w:history="1">
        <w:r w:rsidRPr="00DC111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Трудовым кодексом</w:t>
        </w:r>
      </w:hyperlink>
      <w:r w:rsidRPr="00DC11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 и иными федеральными законами.</w:t>
      </w: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C1119" w:rsidRPr="00DC1119" w:rsidRDefault="00DC1119" w:rsidP="00DC1119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DC1119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</w:p>
    <w:p w:rsidR="00113741" w:rsidRDefault="00113741">
      <w:bookmarkStart w:id="31" w:name="_GoBack"/>
      <w:bookmarkEnd w:id="31"/>
    </w:p>
    <w:sectPr w:rsidR="00113741" w:rsidSect="004A53DC">
      <w:headerReference w:type="default" r:id="rId35"/>
      <w:footerReference w:type="default" r:id="rId36"/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0B9" w:rsidRDefault="00DC1119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3DC" w:rsidRDefault="00DC1119">
    <w:pPr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D8"/>
    <w:rsid w:val="00113741"/>
    <w:rsid w:val="00114C9F"/>
    <w:rsid w:val="00241DD8"/>
    <w:rsid w:val="00C76E05"/>
    <w:rsid w:val="00DC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54D85-DB3C-4A09-863C-B0CED0D9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2125268/5" TargetMode="External"/><Relationship Id="rId18" Type="http://schemas.openxmlformats.org/officeDocument/2006/relationships/hyperlink" Target="http://internet.garant.ru/document/redirect/70878632/0" TargetMode="External"/><Relationship Id="rId26" Type="http://schemas.openxmlformats.org/officeDocument/2006/relationships/hyperlink" Target="http://internet.garant.ru/document/redirect/12125268/778" TargetMode="External"/><Relationship Id="rId21" Type="http://schemas.openxmlformats.org/officeDocument/2006/relationships/hyperlink" Target="http://internet.garant.ru/document/redirect/12125268/5" TargetMode="External"/><Relationship Id="rId34" Type="http://schemas.openxmlformats.org/officeDocument/2006/relationships/hyperlink" Target="http://internet.garant.ru/document/redirect/12125268/0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internet.garant.ru/document/redirect/180422/0" TargetMode="External"/><Relationship Id="rId17" Type="http://schemas.openxmlformats.org/officeDocument/2006/relationships/hyperlink" Target="http://internet.garant.ru/document/redirect/70878632/1000" TargetMode="External"/><Relationship Id="rId25" Type="http://schemas.openxmlformats.org/officeDocument/2006/relationships/hyperlink" Target="file:///D:\&#1051;&#1086;&#1082;&#1072;&#1083;&#1100;&#1085;&#1099;&#1077;%20&#1072;&#1082;&#1090;&#1099;\&#1053;&#1086;&#1088;&#1084;&#1072;&#1090;&#1080;&#1074;&#1085;&#1086;%20&#1087;&#1088;&#1072;&#1074;&#1086;&#1074;&#1099;&#1077;%20&#1076;&#1086;&#1082;&#1091;&#1084;&#1077;&#1085;&#1090;&#1099;\&#1055;&#1086;&#1083;&#1086;&#1078;&#1077;&#1085;&#1080;&#1103;%20&#1086;&#1073;%20&#1054;&#1058;\&#1055;&#1086;&#1083;&#1086;&#1078;&#1077;&#1085;&#1080;&#1077;%20&#1086;&#1073;%20&#1054;&#1058;%202014.doc" TargetMode="External"/><Relationship Id="rId33" Type="http://schemas.openxmlformats.org/officeDocument/2006/relationships/hyperlink" Target="http://internet.garant.ru/document/redirect/10180093/0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2125268/0" TargetMode="External"/><Relationship Id="rId20" Type="http://schemas.openxmlformats.org/officeDocument/2006/relationships/hyperlink" Target="http://internet.garant.ru/document/redirect/193313/0" TargetMode="External"/><Relationship Id="rId29" Type="http://schemas.openxmlformats.org/officeDocument/2006/relationships/hyperlink" Target="http://internet.garant.ru/document/redirect/12125268/831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0291040/0" TargetMode="External"/><Relationship Id="rId11" Type="http://schemas.openxmlformats.org/officeDocument/2006/relationships/hyperlink" Target="http://internet.garant.ru/document/redirect/108186/0" TargetMode="External"/><Relationship Id="rId24" Type="http://schemas.openxmlformats.org/officeDocument/2006/relationships/hyperlink" Target="file:///D:\&#1051;&#1086;&#1082;&#1072;&#1083;&#1100;&#1085;&#1099;&#1077;%20&#1072;&#1082;&#1090;&#1099;\&#1053;&#1086;&#1088;&#1084;&#1072;&#1090;&#1080;&#1074;&#1085;&#1086;%20&#1087;&#1088;&#1072;&#1074;&#1086;&#1074;&#1099;&#1077;%20&#1076;&#1086;&#1082;&#1091;&#1084;&#1077;&#1085;&#1090;&#1099;\&#1055;&#1086;&#1083;&#1086;&#1078;&#1077;&#1085;&#1080;&#1103;%20&#1086;&#1073;%20&#1054;&#1058;\&#1055;&#1086;&#1083;&#1086;&#1078;&#1077;&#1085;&#1080;&#1077;%20&#1086;&#1073;%20&#1054;&#1058;%202014.doc" TargetMode="External"/><Relationship Id="rId32" Type="http://schemas.openxmlformats.org/officeDocument/2006/relationships/hyperlink" Target="http://internet.garant.ru/document/redirect/10180093/0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internet.garant.ru/document/redirect/70183566/0" TargetMode="External"/><Relationship Id="rId15" Type="http://schemas.openxmlformats.org/officeDocument/2006/relationships/hyperlink" Target="http://internet.garant.ru/document/redirect/180422/0" TargetMode="External"/><Relationship Id="rId23" Type="http://schemas.openxmlformats.org/officeDocument/2006/relationships/hyperlink" Target="file:///D:\&#1051;&#1086;&#1082;&#1072;&#1083;&#1100;&#1085;&#1099;&#1077;%20&#1072;&#1082;&#1090;&#1099;\&#1053;&#1086;&#1088;&#1084;&#1072;&#1090;&#1080;&#1074;&#1085;&#1086;%20&#1087;&#1088;&#1072;&#1074;&#1086;&#1074;&#1099;&#1077;%20&#1076;&#1086;&#1082;&#1091;&#1084;&#1077;&#1085;&#1090;&#1099;\&#1055;&#1086;&#1083;&#1086;&#1078;&#1077;&#1085;&#1080;&#1103;%20&#1086;&#1073;%20&#1054;&#1058;\&#1055;&#1086;&#1083;&#1086;&#1078;&#1077;&#1085;&#1080;&#1077;%20&#1086;&#1073;%20&#1054;&#1058;%202014.doc" TargetMode="External"/><Relationship Id="rId28" Type="http://schemas.openxmlformats.org/officeDocument/2006/relationships/hyperlink" Target="http://internet.garant.ru/document/redirect/12125268/812" TargetMode="External"/><Relationship Id="rId36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hyperlink" Target="http://internet.garant.ru/document/redirect/193313/1000" TargetMode="External"/><Relationship Id="rId31" Type="http://schemas.openxmlformats.org/officeDocument/2006/relationships/hyperlink" Target="http://internet.garant.ru/document/redirect/12125268/835" TargetMode="External"/><Relationship Id="rId4" Type="http://schemas.openxmlformats.org/officeDocument/2006/relationships/hyperlink" Target="http://internet.garant.ru/document/redirect/70170950/0" TargetMode="External"/><Relationship Id="rId9" Type="http://schemas.openxmlformats.org/officeDocument/2006/relationships/image" Target="media/image3.emf"/><Relationship Id="rId14" Type="http://schemas.openxmlformats.org/officeDocument/2006/relationships/hyperlink" Target="http://internet.garant.ru/document/redirect/108186/0" TargetMode="External"/><Relationship Id="rId22" Type="http://schemas.openxmlformats.org/officeDocument/2006/relationships/hyperlink" Target="file:///D:\&#1051;&#1086;&#1082;&#1072;&#1083;&#1100;&#1085;&#1099;&#1077;%20&#1072;&#1082;&#1090;&#1099;\&#1053;&#1086;&#1088;&#1084;&#1072;&#1090;&#1080;&#1074;&#1085;&#1086;%20&#1087;&#1088;&#1072;&#1074;&#1086;&#1074;&#1099;&#1077;%20&#1076;&#1086;&#1082;&#1091;&#1084;&#1077;&#1085;&#1090;&#1099;\&#1055;&#1086;&#1083;&#1086;&#1078;&#1077;&#1085;&#1080;&#1103;%20&#1086;&#1073;%20&#1054;&#1058;\&#1055;&#1086;&#1083;&#1086;&#1078;&#1077;&#1085;&#1080;&#1077;%20&#1086;&#1073;%20&#1054;&#1058;%202014.doc" TargetMode="External"/><Relationship Id="rId27" Type="http://schemas.openxmlformats.org/officeDocument/2006/relationships/hyperlink" Target="http://internet.garant.ru/document/redirect/12125268/811" TargetMode="External"/><Relationship Id="rId30" Type="http://schemas.openxmlformats.org/officeDocument/2006/relationships/hyperlink" Target="http://internet.garant.ru/document/redirect/12125268/832" TargetMode="External"/><Relationship Id="rId35" Type="http://schemas.openxmlformats.org/officeDocument/2006/relationships/header" Target="header1.xml"/><Relationship Id="rId8" Type="http://schemas.openxmlformats.org/officeDocument/2006/relationships/image" Target="media/image2.e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4780</Words>
  <Characters>27249</Characters>
  <Application>Microsoft Office Word</Application>
  <DocSecurity>0</DocSecurity>
  <Lines>227</Lines>
  <Paragraphs>63</Paragraphs>
  <ScaleCrop>false</ScaleCrop>
  <Company/>
  <LinksUpToDate>false</LinksUpToDate>
  <CharactersWithSpaces>31966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2</cp:revision>
  <dcterms:created xsi:type="dcterms:W3CDTF">2023-11-13T07:26:00Z</dcterms:created>
  <dcterms:modified xsi:type="dcterms:W3CDTF">2023-11-13T07:27:00Z</dcterms:modified>
</cp:coreProperties>
</file>