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fldChar w:fldCharType="begin"/>
      </w:r>
      <w:r>
        <w:instrText xml:space="preserve"> HYPERLINK "https://zpp.rospotrebnadzor.ru/news/regional/468644" </w:instrText>
      </w:r>
      <w:r>
        <w:fldChar w:fldCharType="separate"/>
      </w:r>
      <w:r>
        <w:rPr>
          <w:color w:val="0000FF"/>
        </w:rPr>
        <w:t>Информация для потребителей о кожгалантерейных изделиях</w:t>
      </w:r>
      <w:r>
        <w:fldChar w:fldCharType="end"/>
      </w:r>
    </w:p>
    <w:p>
      <w:pPr>
        <w:jc w:val="both"/>
      </w:pPr>
      <w:r>
        <w:rPr>
          <w:b/>
          <w:bCs/>
        </w:rPr>
        <w:t>Правоотношения, возникающие между продавцом и потребителем при покупке кожгалантерейных изделий регулируются положениями:</w:t>
      </w:r>
    </w:p>
    <w:p>
      <w:pPr>
        <w:jc w:val="both"/>
      </w:pPr>
      <w:r>
        <w:t>— Закона РФ от 07.02.1992 № 2300-1 «О защите прав потребителей»;</w:t>
      </w:r>
    </w:p>
    <w:p>
      <w:pPr>
        <w:jc w:val="both"/>
      </w:pPr>
      <w:r>
        <w:t>— ГОСТ 25871-83 «Изделия кожгалантерейные. Упаковка, маркировка, транспортирование и хранение»;</w:t>
      </w:r>
    </w:p>
    <w:p>
      <w:pPr>
        <w:jc w:val="both"/>
      </w:pPr>
      <w:r>
        <w:t>— Техническим регламентом Таможенного союза ТР ТС 017/2011 «О безопасности продукции легкой промышленности»;</w:t>
      </w:r>
    </w:p>
    <w:p>
      <w:pPr>
        <w:jc w:val="both"/>
      </w:pPr>
      <w:r>
        <w:t>— дополнительные требования к данным видам товаров, но для детей и подростков, определены Техническим регламентом Таможенного союза «О безопасности продукции, предназначенной для детей и подростков» ТР ТС 007/2011.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2023-11-14T08:47:42Z</dcterms:created>
  <dc:creator>User</dc:creator>
  <cp:lastModifiedBy>User</cp:lastModifiedBy>
  <dcterms:modified xsi:type="dcterms:W3CDTF">2023-11-14T08:47:47Z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A7D51ACE56714EF7AB337CF70191E78C_12</vt:lpwstr>
  </property>
</Properties>
</file>