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61755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Министерство образования Чувашской Республики</w:t>
      </w:r>
      <w:bookmarkEnd w:id="1"/>
      <w:r>
        <w:rPr>
          <w:rFonts w:ascii="Times New Roman" w:hAnsi="Times New Roman"/>
          <w:b/>
          <w:i w:val="false"/>
          <w:color w:val="000000"/>
          <w:sz w:val="28"/>
        </w:rPr>
        <w:t xml:space="preserve"> </w:t>
      </w:r>
    </w:p>
    <w:p>
      <w:pPr>
        <w:spacing w:before="0" w:after="0" w:line="408"/>
        <w:ind w:left="120"/>
        <w:jc w:val="center"/>
      </w:pPr>
      <w:bookmarkStart w:name="0b39eddd-ebf7-404c-8ed4-76991eb8dd98" w:id="2"/>
      <w:r>
        <w:rPr>
          <w:rFonts w:ascii="Times New Roman" w:hAnsi="Times New Roman"/>
          <w:b/>
          <w:i w:val="false"/>
          <w:color w:val="000000"/>
          <w:sz w:val="28"/>
        </w:rPr>
        <w:t>Адменистрация Вурнарского муниципального округа Чувашской Республики</w:t>
      </w:r>
      <w:bookmarkEnd w:id="2"/>
    </w:p>
    <w:p>
      <w:pPr>
        <w:spacing w:before="0" w:after="0" w:line="408"/>
        <w:ind w:left="120"/>
        <w:jc w:val="center"/>
      </w:pPr>
      <w:r>
        <w:rPr>
          <w:rFonts w:ascii="Times New Roman" w:hAnsi="Times New Roman"/>
          <w:b/>
          <w:i w:val="false"/>
          <w:color w:val="000000"/>
          <w:sz w:val="28"/>
        </w:rPr>
        <w:t>МБОУ "Алгазинская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Краснова А.Н.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05</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Никифорова Е.Г.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Павлова С.Г.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№55-О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928858)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д. Алгазино</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2023</w:t>
      </w:r>
      <w:bookmarkEnd w:id="4"/>
    </w:p>
    <w:p>
      <w:pPr>
        <w:spacing w:before="0" w:after="0"/>
        <w:ind w:left="120"/>
        <w:jc w:val="left"/>
      </w:pPr>
    </w:p>
    <w:bookmarkStart w:name="block-6617552" w:id="5"/>
    <w:p>
      <w:pPr>
        <w:sectPr>
          <w:pgSz w:w="11906" w:h="16383" w:orient="portrait"/>
        </w:sectPr>
      </w:pPr>
    </w:p>
    <w:bookmarkEnd w:id="5"/>
    <w:bookmarkEnd w:id="0"/>
    <w:bookmarkStart w:name="block-661755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6617558" w:id="7"/>
    <w:p>
      <w:pPr>
        <w:sectPr>
          <w:pgSz w:w="11906" w:h="16383" w:orient="portrait"/>
        </w:sectPr>
      </w:pPr>
    </w:p>
    <w:bookmarkEnd w:id="7"/>
    <w:bookmarkEnd w:id="6"/>
    <w:bookmarkStart w:name="block-661755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6617553" w:id="9"/>
    <w:p>
      <w:pPr>
        <w:sectPr>
          <w:pgSz w:w="11906" w:h="16383" w:orient="portrait"/>
        </w:sectPr>
      </w:pPr>
    </w:p>
    <w:bookmarkEnd w:id="9"/>
    <w:bookmarkEnd w:id="8"/>
    <w:bookmarkStart w:name="block-6617557"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6617557" w:id="11"/>
    <w:p>
      <w:pPr>
        <w:sectPr>
          <w:pgSz w:w="11906" w:h="16383" w:orient="portrait"/>
        </w:sectPr>
      </w:pPr>
    </w:p>
    <w:bookmarkEnd w:id="11"/>
    <w:bookmarkEnd w:id="10"/>
    <w:bookmarkStart w:name="block-661755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46" w:type="dxa"/>
            <w:tcBorders/>
            <w:tcMar>
              <w:top w:w="50" w:type="dxa"/>
              <w:left w:w="100" w:type="dxa"/>
            </w:tcMar>
            <w:vAlign w:val="center"/>
          </w:tcPr>
          <w:p>
            <w:pPr>
              <w:jc w:val="left"/>
            </w:pPr>
          </w:p>
        </w:tc>
      </w:tr>
    </w:tbl>
    <w:p>
      <w:pPr>
        <w:sectPr>
          <w:pgSz w:w="16383" w:h="11906" w:orient="landscape"/>
        </w:sectPr>
      </w:pPr>
    </w:p>
    <w:bookmarkStart w:name="block-6617554" w:id="13"/>
    <w:p>
      <w:pPr>
        <w:sectPr>
          <w:pgSz w:w="16383" w:h="11906" w:orient="landscape"/>
        </w:sectPr>
      </w:pPr>
    </w:p>
    <w:bookmarkEnd w:id="13"/>
    <w:bookmarkEnd w:id="12"/>
    <w:bookmarkStart w:name="block-661755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6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8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162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89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4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7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617555" w:id="15"/>
    <w:p>
      <w:pPr>
        <w:sectPr>
          <w:pgSz w:w="16383" w:h="11906" w:orient="landscape"/>
        </w:sectPr>
      </w:pPr>
    </w:p>
    <w:bookmarkEnd w:id="15"/>
    <w:bookmarkEnd w:id="14"/>
    <w:bookmarkStart w:name="block-661755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0316e542-3bf9-44a3-be3d-35b4ba66b624" w:id="17"/>
      <w:r>
        <w:rPr>
          <w:rFonts w:ascii="Times New Roman" w:hAnsi="Times New Roman"/>
          <w:b w:val="false"/>
          <w:i w:val="false"/>
          <w:color w:val="000000"/>
          <w:sz w:val="28"/>
        </w:rPr>
        <w:t>• Обществознание : 9-й класс : учебник, 9 класс/ Боголюбов Л. Н., Лазебникова А. Ю., Лобанов И. А. и другие, Акционерное общество «Издательство «Просвещение»</w:t>
      </w:r>
      <w:bookmarkEnd w:id="17"/>
      <w:r>
        <w:rPr>
          <w:sz w:val="28"/>
        </w:rPr>
        <w:br/>
      </w:r>
      <w:bookmarkStart w:name="0316e542-3bf9-44a3-be3d-35b4ba66b624" w:id="18"/>
      <w:r>
        <w:rPr>
          <w:rFonts w:ascii="Times New Roman" w:hAnsi="Times New Roman"/>
          <w:b w:val="false"/>
          <w:i w:val="false"/>
          <w:color w:val="000000"/>
          <w:sz w:val="28"/>
        </w:rPr>
        <w:t xml:space="preserve"> • Обществознание, 7 класс/ Боголюбов Л.Н., Иванова Л.Ф., Городецкая Н.И. и другие, Акционерное общество «Издательство «Просвещение»</w:t>
      </w:r>
      <w:bookmarkEnd w:id="18"/>
      <w:r>
        <w:rPr>
          <w:sz w:val="28"/>
        </w:rPr>
        <w:br/>
      </w:r>
      <w:bookmarkStart w:name="0316e542-3bf9-44a3-be3d-35b4ba66b624" w:id="19"/>
      <w:r>
        <w:rPr>
          <w:rFonts w:ascii="Times New Roman" w:hAnsi="Times New Roman"/>
          <w:b w:val="false"/>
          <w:i w:val="false"/>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bookmarkEnd w:id="19"/>
      <w:r>
        <w:rPr>
          <w:sz w:val="28"/>
        </w:rPr>
        <w:br/>
      </w:r>
      <w:bookmarkStart w:name="0316e542-3bf9-44a3-be3d-35b4ba66b624" w:id="20"/>
      <w:r>
        <w:rPr>
          <w:rFonts w:ascii="Times New Roman" w:hAnsi="Times New Roman"/>
          <w:b w:val="false"/>
          <w:i w:val="false"/>
          <w:color w:val="000000"/>
          <w:sz w:val="28"/>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9d96b998-0faf-4d98-a303-e3f31dec8ff2" w:id="21"/>
      <w:r>
        <w:rPr>
          <w:rFonts w:ascii="Times New Roman" w:hAnsi="Times New Roman"/>
          <w:b w:val="false"/>
          <w:i w:val="false"/>
          <w:color w:val="000000"/>
          <w:sz w:val="28"/>
        </w:rPr>
        <w:t>1. Общая методика преподавания обществознания в школе / Л.Н. Боголюбов, Л.Ф. Иванова, А.Ю. Лазебникова и др.; под ред. Л.Н. Боголюбова. – М.: Дрофа, 2008.</w:t>
      </w:r>
      <w:bookmarkEnd w:id="21"/>
      <w:r>
        <w:rPr>
          <w:sz w:val="28"/>
        </w:rPr>
        <w:br/>
      </w:r>
      <w:bookmarkStart w:name="9d96b998-0faf-4d98-a303-e3f31dec8ff2" w:id="22"/>
      <w:r>
        <w:rPr>
          <w:rFonts w:ascii="Times New Roman" w:hAnsi="Times New Roman"/>
          <w:b w:val="false"/>
          <w:i w:val="false"/>
          <w:color w:val="000000"/>
          <w:sz w:val="28"/>
        </w:rPr>
        <w:t xml:space="preserve"> 2. Боголюбов, Л.Н. Обществознание в современной школе: актуальные вопросы теории и методики. – М.; СПб.: Нестор-История, 2013.</w:t>
      </w:r>
      <w:bookmarkEnd w:id="22"/>
      <w:r>
        <w:rPr>
          <w:sz w:val="28"/>
        </w:rPr>
        <w:br/>
      </w:r>
      <w:bookmarkStart w:name="9d96b998-0faf-4d98-a303-e3f31dec8ff2" w:id="23"/>
      <w:r>
        <w:rPr>
          <w:rFonts w:ascii="Times New Roman" w:hAnsi="Times New Roman"/>
          <w:b w:val="false"/>
          <w:i w:val="false"/>
          <w:color w:val="000000"/>
          <w:sz w:val="28"/>
        </w:rPr>
        <w:t xml:space="preserve"> 3. Курс школьного обществознания в эпоху цифровизации: содержание, технологии, приемы [Текст] : учеб. – метод. пособие/ И.Б. Орлов, Е.К. Калуцкая, И.А. Лобанов, О.А. Французова; под общ. ред. И.Б. Орлова. – М.: Изд. дом Высшей школы экономики, 2022.</w:t>
      </w:r>
      <w:bookmarkEnd w:id="23"/>
      <w:r>
        <w:rPr>
          <w:sz w:val="28"/>
        </w:rPr>
        <w:br/>
      </w:r>
      <w:bookmarkStart w:name="9d96b998-0faf-4d98-a303-e3f31dec8ff2" w:id="24"/>
      <w:r>
        <w:rPr>
          <w:rFonts w:ascii="Times New Roman" w:hAnsi="Times New Roman"/>
          <w:b w:val="false"/>
          <w:i w:val="false"/>
          <w:color w:val="000000"/>
          <w:sz w:val="28"/>
        </w:rPr>
        <w:t xml:space="preserve"> 4. Содержание социально-гуманитарного образования в современном обществе и закономерности его становления: Монография / ФГНУ «Институт содержания и методов обучения РАО» / науч. ред. Л.Н. Боголюбов. – М.; СПб: Нестор-История, 2014.</w:t>
      </w:r>
      <w:bookmarkEnd w:id="24"/>
      <w:r>
        <w:rPr>
          <w:sz w:val="28"/>
        </w:rPr>
        <w:br/>
      </w:r>
      <w:bookmarkStart w:name="9d96b998-0faf-4d98-a303-e3f31dec8ff2" w:id="25"/>
      <w:r>
        <w:rPr>
          <w:rFonts w:ascii="Times New Roman" w:hAnsi="Times New Roman"/>
          <w:b w:val="false"/>
          <w:i w:val="false"/>
          <w:color w:val="000000"/>
          <w:sz w:val="28"/>
        </w:rPr>
        <w:t xml:space="preserve"> 5. Обществознание. Рабочая программа. Поурочные разработки. 10 класс : пособие для общеобразоват. организаций: базовый уровень / [Л.Н. Боголюбов и др.]. – М.: Просвещение, 2021.</w:t>
      </w:r>
      <w:bookmarkEnd w:id="25"/>
      <w:r>
        <w:rPr>
          <w:sz w:val="28"/>
        </w:rPr>
        <w:br/>
      </w:r>
      <w:bookmarkStart w:name="9d96b998-0faf-4d98-a303-e3f31dec8ff2" w:id="26"/>
      <w:r>
        <w:rPr>
          <w:rFonts w:ascii="Times New Roman" w:hAnsi="Times New Roman"/>
          <w:b w:val="false"/>
          <w:i w:val="false"/>
          <w:color w:val="000000"/>
          <w:sz w:val="28"/>
        </w:rPr>
        <w:t xml:space="preserve"> 6. Обществознание. Рабочая программа. Поурочные разработки. 11 класс : пособие для общеобразоват. организаций: базовый уровень / [Л.Н. Боголюбов и др.]. – М.: Просвещение, 2021.</w:t>
      </w:r>
      <w:bookmarkEnd w:id="26"/>
      <w:r>
        <w:rPr>
          <w:sz w:val="28"/>
        </w:rPr>
        <w:br/>
      </w:r>
      <w:bookmarkStart w:name="9d96b998-0faf-4d98-a303-e3f31dec8ff2" w:id="27"/>
      <w:bookmarkEnd w:id="27"/>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1030ee2-5a26-4d9d-8782-2883f6f7ff11" w:id="28"/>
      <w:r>
        <w:rPr>
          <w:rFonts w:ascii="Times New Roman" w:hAnsi="Times New Roman"/>
          <w:b w:val="false"/>
          <w:i w:val="false"/>
          <w:color w:val="000000"/>
          <w:sz w:val="28"/>
        </w:rPr>
        <w:t>https://resh.edu.ru</w:t>
      </w:r>
      <w:bookmarkEnd w:id="28"/>
      <w:r>
        <w:rPr>
          <w:sz w:val="28"/>
        </w:rPr>
        <w:br/>
      </w:r>
      <w:bookmarkStart w:name="61030ee2-5a26-4d9d-8782-2883f6f7ff11" w:id="29"/>
      <w:r>
        <w:rPr>
          <w:rFonts w:ascii="Times New Roman" w:hAnsi="Times New Roman"/>
          <w:b w:val="false"/>
          <w:i w:val="false"/>
          <w:color w:val="000000"/>
          <w:sz w:val="28"/>
        </w:rPr>
        <w:t xml:space="preserve"> www.1class.ru</w:t>
      </w:r>
      <w:bookmarkEnd w:id="29"/>
      <w:r>
        <w:rPr>
          <w:sz w:val="28"/>
        </w:rPr>
        <w:br/>
      </w:r>
      <w:bookmarkStart w:name="61030ee2-5a26-4d9d-8782-2883f6f7ff11" w:id="30"/>
      <w:r>
        <w:rPr>
          <w:rFonts w:ascii="Times New Roman" w:hAnsi="Times New Roman"/>
          <w:b w:val="false"/>
          <w:i w:val="false"/>
          <w:color w:val="000000"/>
          <w:sz w:val="28"/>
        </w:rPr>
        <w:t xml:space="preserve"> «Учи.ру».</w:t>
      </w:r>
      <w:bookmarkEnd w:id="30"/>
      <w:r>
        <w:rPr>
          <w:sz w:val="28"/>
        </w:rPr>
        <w:br/>
      </w:r>
      <w:bookmarkStart w:name="61030ee2-5a26-4d9d-8782-2883f6f7ff11" w:id="31"/>
      <w:r>
        <w:rPr>
          <w:rFonts w:ascii="Times New Roman" w:hAnsi="Times New Roman"/>
          <w:b w:val="false"/>
          <w:i w:val="false"/>
          <w:color w:val="000000"/>
          <w:sz w:val="28"/>
        </w:rPr>
        <w:t xml:space="preserve"> https://fipi.ru</w:t>
      </w:r>
      <w:bookmarkEnd w:id="31"/>
      <w:r>
        <w:rPr>
          <w:sz w:val="28"/>
        </w:rPr>
        <w:br/>
      </w:r>
      <w:bookmarkStart w:name="61030ee2-5a26-4d9d-8782-2883f6f7ff11" w:id="32"/>
      <w:r>
        <w:rPr>
          <w:rFonts w:ascii="Times New Roman" w:hAnsi="Times New Roman"/>
          <w:b w:val="false"/>
          <w:i w:val="false"/>
          <w:color w:val="000000"/>
          <w:sz w:val="28"/>
        </w:rPr>
        <w:t xml:space="preserve"> «Урок цифры»</w:t>
      </w:r>
      <w:bookmarkEnd w:id="32"/>
      <w:r>
        <w:rPr>
          <w:sz w:val="28"/>
        </w:rPr>
        <w:br/>
      </w:r>
      <w:bookmarkStart w:name="61030ee2-5a26-4d9d-8782-2883f6f7ff11" w:id="33"/>
      <w:r>
        <w:rPr>
          <w:rFonts w:ascii="Times New Roman" w:hAnsi="Times New Roman"/>
          <w:b w:val="false"/>
          <w:i w:val="false"/>
          <w:color w:val="000000"/>
          <w:sz w:val="28"/>
        </w:rPr>
        <w:t xml:space="preserve"> https://моифинансы.рф</w:t>
      </w:r>
      <w:bookmarkEnd w:id="33"/>
    </w:p>
    <w:bookmarkStart w:name="block-6617556" w:id="34"/>
    <w:p>
      <w:pPr>
        <w:sectPr>
          <w:pgSz w:w="11906" w:h="16383" w:orient="portrait"/>
        </w:sectPr>
      </w:pPr>
    </w:p>
    <w:bookmarkEnd w:id="34"/>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