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206" w:rsidRPr="00604206" w:rsidRDefault="00E67499" w:rsidP="00604206">
      <w:pPr>
        <w:pStyle w:val="a4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Перекисное число в растительном масле.</w:t>
      </w:r>
    </w:p>
    <w:p w:rsidR="006A418B" w:rsidRPr="008240C4" w:rsidRDefault="006A418B" w:rsidP="008240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67499" w:rsidRDefault="00E67499" w:rsidP="00E674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67499">
        <w:rPr>
          <w:rFonts w:ascii="Times New Roman" w:hAnsi="Times New Roman" w:cs="Times New Roman"/>
          <w:sz w:val="24"/>
          <w:szCs w:val="24"/>
        </w:rPr>
        <w:t>Растительные масла являются важным пищевым продуктом. Они обладают высокой пищевой ценностью, многие содержат незаменимые питательные вещества. Любое масло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67499">
        <w:rPr>
          <w:rFonts w:ascii="Times New Roman" w:hAnsi="Times New Roman" w:cs="Times New Roman"/>
          <w:sz w:val="24"/>
          <w:szCs w:val="24"/>
        </w:rPr>
        <w:t xml:space="preserve"> это источник полезных жиров, которые необходимы человеку. За счет жиров обеспечивается около 80 % энергетических запасов в организме человека. Жиры служат источником пищевых веществ – полиненасыщенных жирных кислот, жирорастворимых витаминов, фосфолипидов и витаминов.</w:t>
      </w:r>
    </w:p>
    <w:p w:rsidR="00E67499" w:rsidRDefault="00E67499" w:rsidP="00E6749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67499" w:rsidRDefault="00E67499" w:rsidP="00E674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67499">
        <w:rPr>
          <w:rFonts w:ascii="Times New Roman" w:hAnsi="Times New Roman" w:cs="Times New Roman"/>
          <w:sz w:val="24"/>
          <w:szCs w:val="24"/>
        </w:rPr>
        <w:t>Самые известные растительные масла для пищевых целей: подсолнечное, оливковое, кукурузное, горчичное, кунжутное, масло зародышей пшеницы и виноградных косточек. При оценке качества масла наиболее важными являются следующие физико-химические показатели: цветное число, кислотное число, массовая доля влаги и летучих веществ, перекисное число (содержание активного кислорода).</w:t>
      </w:r>
    </w:p>
    <w:p w:rsidR="00E67499" w:rsidRPr="00E67499" w:rsidRDefault="00E67499" w:rsidP="00E674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67499">
        <w:rPr>
          <w:rFonts w:ascii="Times New Roman" w:hAnsi="Times New Roman" w:cs="Times New Roman"/>
          <w:sz w:val="24"/>
          <w:szCs w:val="24"/>
        </w:rPr>
        <w:t>Растительные масла и животные жиры могут оказаться испорченными даже при соблюдении сроков реализации. Первый признак тог</w:t>
      </w:r>
      <w:r>
        <w:rPr>
          <w:rFonts w:ascii="Times New Roman" w:hAnsi="Times New Roman" w:cs="Times New Roman"/>
          <w:sz w:val="24"/>
          <w:szCs w:val="24"/>
        </w:rPr>
        <w:t>о, что масло не годится в пищу -</w:t>
      </w:r>
      <w:r w:rsidRPr="00E67499">
        <w:rPr>
          <w:rFonts w:ascii="Times New Roman" w:hAnsi="Times New Roman" w:cs="Times New Roman"/>
          <w:sz w:val="24"/>
          <w:szCs w:val="24"/>
        </w:rPr>
        <w:t xml:space="preserve"> неприятный запах и характерный горьковатый вкус. Чаще всего причиной порчи жиросодержащих продуктов является взаимодействие с кислородом, сильнейшим окислителем. Возможно, было использовано некачественное сырье или нарушены правила хранения. Особенно активно процессы окисления протекают на свету и при прямом контакте с воздухом.</w:t>
      </w:r>
    </w:p>
    <w:p w:rsidR="00E67499" w:rsidRPr="00E67499" w:rsidRDefault="00E67499" w:rsidP="00E6749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499">
        <w:rPr>
          <w:rFonts w:ascii="Times New Roman" w:hAnsi="Times New Roman" w:cs="Times New Roman"/>
          <w:b/>
          <w:sz w:val="24"/>
          <w:szCs w:val="24"/>
        </w:rPr>
        <w:t>Что такое перекисное число</w:t>
      </w:r>
    </w:p>
    <w:p w:rsidR="00E67499" w:rsidRPr="00E67499" w:rsidRDefault="00E67499" w:rsidP="00E674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67499">
        <w:rPr>
          <w:rFonts w:ascii="Times New Roman" w:hAnsi="Times New Roman" w:cs="Times New Roman"/>
          <w:sz w:val="24"/>
          <w:szCs w:val="24"/>
        </w:rPr>
        <w:t>Для оценки качества масла при </w:t>
      </w:r>
      <w:hyperlink r:id="rId5" w:history="1">
        <w:r w:rsidRPr="00E6749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исследовании продуктов питания</w:t>
        </w:r>
      </w:hyperlink>
      <w:r w:rsidRPr="00E67499">
        <w:rPr>
          <w:rFonts w:ascii="Times New Roman" w:hAnsi="Times New Roman" w:cs="Times New Roman"/>
          <w:sz w:val="24"/>
          <w:szCs w:val="24"/>
        </w:rPr>
        <w:t xml:space="preserve"> используется </w:t>
      </w:r>
      <w:bookmarkStart w:id="0" w:name="_GoBack"/>
      <w:bookmarkEnd w:id="0"/>
      <w:r w:rsidRPr="00E67499">
        <w:rPr>
          <w:rFonts w:ascii="Times New Roman" w:hAnsi="Times New Roman" w:cs="Times New Roman"/>
          <w:sz w:val="24"/>
          <w:szCs w:val="24"/>
        </w:rPr>
        <w:t>метод идентификации пероксидов и определения перекисного числа - гигиенического показателя, отражающего процентное содержание неорганических соединений и степень окисления жиров различной степени очистки.</w:t>
      </w:r>
    </w:p>
    <w:p w:rsidR="00E67499" w:rsidRDefault="00E67499" w:rsidP="00E674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67499">
        <w:rPr>
          <w:rFonts w:ascii="Times New Roman" w:hAnsi="Times New Roman" w:cs="Times New Roman"/>
          <w:sz w:val="24"/>
          <w:szCs w:val="24"/>
        </w:rPr>
        <w:t xml:space="preserve">Перекисное число выражается в </w:t>
      </w:r>
      <w:proofErr w:type="spellStart"/>
      <w:r w:rsidRPr="00E67499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E67499">
        <w:rPr>
          <w:rFonts w:ascii="Times New Roman" w:hAnsi="Times New Roman" w:cs="Times New Roman"/>
          <w:sz w:val="24"/>
          <w:szCs w:val="24"/>
        </w:rPr>
        <w:t xml:space="preserve"> (1/2 О) активного (свободного) кислорода на 1000 г жидкого масла или 1 кг твердого жира. Согласно Техническому регламенту ФЗ № 90 от 24.06.2008 г. (прил. 1), максимально допустимое значение перекисного числа не должно превышать 10 </w:t>
      </w:r>
      <w:proofErr w:type="spellStart"/>
      <w:r w:rsidRPr="00E67499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E67499">
        <w:rPr>
          <w:rFonts w:ascii="Times New Roman" w:hAnsi="Times New Roman" w:cs="Times New Roman"/>
          <w:sz w:val="24"/>
          <w:szCs w:val="24"/>
        </w:rPr>
        <w:t>/1 кг продукта.</w:t>
      </w:r>
    </w:p>
    <w:p w:rsidR="00E67499" w:rsidRPr="00E67499" w:rsidRDefault="00E67499" w:rsidP="00E674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67499" w:rsidRPr="00E67499" w:rsidRDefault="00E67499" w:rsidP="00E6749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499">
        <w:rPr>
          <w:rFonts w:ascii="Times New Roman" w:hAnsi="Times New Roman" w:cs="Times New Roman"/>
          <w:b/>
          <w:sz w:val="24"/>
          <w:szCs w:val="24"/>
        </w:rPr>
        <w:t>Определение перекисного числа в лабораторных условиях</w:t>
      </w:r>
    </w:p>
    <w:p w:rsidR="00E67499" w:rsidRPr="00E67499" w:rsidRDefault="00E67499" w:rsidP="00E674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67499">
        <w:rPr>
          <w:rFonts w:ascii="Times New Roman" w:hAnsi="Times New Roman" w:cs="Times New Roman"/>
          <w:sz w:val="24"/>
          <w:szCs w:val="24"/>
        </w:rPr>
        <w:t>Экспертиза проводится в соответствии с ГОСТ Р 51487-99 и ГОСТ Р 52062-2003, регламентирующими порядок исследования и правила отбора проб. Метод основан на химической реакции пероксидов и жиров с насыщенным раствором йодистого калия в смеси уксусной кислоты с изооктаном (или хлороформом). Титриметрический (весовой или объемный) анализ с применением тиосульфата натрия позволяет установить количество выделившегося йода и путем вычислений по специальной формуле найти перекисное число.</w:t>
      </w:r>
    </w:p>
    <w:p w:rsidR="00E67499" w:rsidRPr="00E67499" w:rsidRDefault="00E67499" w:rsidP="00E674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67499">
        <w:rPr>
          <w:rFonts w:ascii="Times New Roman" w:hAnsi="Times New Roman" w:cs="Times New Roman"/>
          <w:sz w:val="24"/>
          <w:szCs w:val="24"/>
        </w:rPr>
        <w:t>Емкости для образов масложировых продуктов должны быть сухими, чистыми и изготовлены из химически инертного по отношению к жирам, нетоксичного материала. Минимальное количество продукта в пробе - не менее 250 г.</w:t>
      </w:r>
    </w:p>
    <w:p w:rsidR="00E67499" w:rsidRPr="00E67499" w:rsidRDefault="00E67499" w:rsidP="00E674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67499" w:rsidRPr="00E67499" w:rsidRDefault="00E67499" w:rsidP="00E67499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67499">
        <w:rPr>
          <w:rFonts w:ascii="Times New Roman" w:hAnsi="Times New Roman" w:cs="Times New Roman"/>
          <w:sz w:val="24"/>
          <w:szCs w:val="24"/>
        </w:rPr>
        <w:t>Не покупайте масло впрок в больших количествах.</w:t>
      </w:r>
      <w:r w:rsidRPr="00E67499">
        <w:rPr>
          <w:rFonts w:ascii="Times New Roman" w:hAnsi="Times New Roman" w:cs="Times New Roman"/>
          <w:sz w:val="24"/>
          <w:szCs w:val="24"/>
        </w:rPr>
        <w:br/>
      </w:r>
    </w:p>
    <w:p w:rsidR="00E67499" w:rsidRPr="00E67499" w:rsidRDefault="00E67499" w:rsidP="00E67499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67499">
        <w:rPr>
          <w:rFonts w:ascii="Times New Roman" w:hAnsi="Times New Roman" w:cs="Times New Roman"/>
          <w:sz w:val="24"/>
          <w:szCs w:val="24"/>
        </w:rPr>
        <w:t>  Храните его в темноте.</w:t>
      </w:r>
      <w:r w:rsidRPr="00E67499">
        <w:rPr>
          <w:rFonts w:ascii="Times New Roman" w:hAnsi="Times New Roman" w:cs="Times New Roman"/>
          <w:sz w:val="24"/>
          <w:szCs w:val="24"/>
        </w:rPr>
        <w:br/>
      </w:r>
    </w:p>
    <w:p w:rsidR="00E67499" w:rsidRPr="00E67499" w:rsidRDefault="00E67499" w:rsidP="00E67499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67499">
        <w:rPr>
          <w:rFonts w:ascii="Times New Roman" w:hAnsi="Times New Roman" w:cs="Times New Roman"/>
          <w:sz w:val="24"/>
          <w:szCs w:val="24"/>
        </w:rPr>
        <w:t>  Держите начатую бутылку с маслом закрытой.</w:t>
      </w:r>
      <w:r w:rsidRPr="00E67499">
        <w:rPr>
          <w:rFonts w:ascii="Times New Roman" w:hAnsi="Times New Roman" w:cs="Times New Roman"/>
          <w:sz w:val="24"/>
          <w:szCs w:val="24"/>
        </w:rPr>
        <w:br/>
        <w:t> </w:t>
      </w:r>
    </w:p>
    <w:p w:rsidR="00E67499" w:rsidRPr="00E67499" w:rsidRDefault="00E67499" w:rsidP="00E67499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67499">
        <w:rPr>
          <w:rFonts w:ascii="Times New Roman" w:hAnsi="Times New Roman" w:cs="Times New Roman"/>
          <w:sz w:val="24"/>
          <w:szCs w:val="24"/>
        </w:rPr>
        <w:t xml:space="preserve"> Используйте разные виды растительных масел по назначению (для жарки - рафинированное, для салатов - нерафинированное).</w:t>
      </w:r>
      <w:r w:rsidRPr="00E67499">
        <w:rPr>
          <w:rFonts w:ascii="Times New Roman" w:hAnsi="Times New Roman" w:cs="Times New Roman"/>
          <w:sz w:val="24"/>
          <w:szCs w:val="24"/>
        </w:rPr>
        <w:br/>
      </w:r>
    </w:p>
    <w:p w:rsidR="00604206" w:rsidRPr="00E67499" w:rsidRDefault="00E67499" w:rsidP="00E67499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67499">
        <w:rPr>
          <w:rFonts w:ascii="Times New Roman" w:hAnsi="Times New Roman" w:cs="Times New Roman"/>
          <w:sz w:val="24"/>
          <w:szCs w:val="24"/>
        </w:rPr>
        <w:lastRenderedPageBreak/>
        <w:t xml:space="preserve"> Осадок у нерафинированного масла не является дефектом, он содержит полезные для организма вещества, например, </w:t>
      </w:r>
      <w:proofErr w:type="spellStart"/>
      <w:r w:rsidRPr="00E67499">
        <w:rPr>
          <w:rFonts w:ascii="Times New Roman" w:hAnsi="Times New Roman" w:cs="Times New Roman"/>
          <w:sz w:val="24"/>
          <w:szCs w:val="24"/>
        </w:rPr>
        <w:t>фосфатиды</w:t>
      </w:r>
      <w:proofErr w:type="spellEnd"/>
      <w:r w:rsidRPr="00E67499">
        <w:rPr>
          <w:rFonts w:ascii="Times New Roman" w:hAnsi="Times New Roman" w:cs="Times New Roman"/>
          <w:sz w:val="24"/>
          <w:szCs w:val="24"/>
        </w:rPr>
        <w:t>".</w:t>
      </w:r>
    </w:p>
    <w:p w:rsidR="00E67499" w:rsidRPr="00E67499" w:rsidRDefault="00E67499" w:rsidP="00E67499">
      <w:pPr>
        <w:pStyle w:val="a4"/>
        <w:ind w:left="420"/>
        <w:rPr>
          <w:rFonts w:ascii="Times New Roman" w:hAnsi="Times New Roman" w:cs="Times New Roman"/>
          <w:sz w:val="24"/>
          <w:szCs w:val="24"/>
        </w:rPr>
      </w:pPr>
    </w:p>
    <w:p w:rsidR="00433A17" w:rsidRDefault="00433A17" w:rsidP="00C75E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Химик-эксперт медицинской организации </w:t>
      </w:r>
    </w:p>
    <w:p w:rsidR="00433A17" w:rsidRDefault="00433A17" w:rsidP="00C75E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Филиала ФБУЗ «Центр гигиены и эпидемиологии в Чувашской Республике – Чувашии в городе Новочебоксарске» </w:t>
      </w:r>
    </w:p>
    <w:p w:rsidR="00433A17" w:rsidRDefault="00433A17" w:rsidP="00C75E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Орлянкова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Т.И.</w:t>
      </w:r>
    </w:p>
    <w:p w:rsidR="008F3CAC" w:rsidRPr="006D5DDE" w:rsidRDefault="008F3CAC" w:rsidP="00433A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8F3CAC" w:rsidRPr="006D5DDE" w:rsidSect="000D5B3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F414D"/>
    <w:multiLevelType w:val="multilevel"/>
    <w:tmpl w:val="C8ECB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CE07FD"/>
    <w:multiLevelType w:val="hybridMultilevel"/>
    <w:tmpl w:val="1BB429DE"/>
    <w:lvl w:ilvl="0" w:tplc="EF74CC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F0401A6"/>
    <w:multiLevelType w:val="multilevel"/>
    <w:tmpl w:val="C890D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C21A28"/>
    <w:multiLevelType w:val="multilevel"/>
    <w:tmpl w:val="47BC7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825211"/>
    <w:multiLevelType w:val="hybridMultilevel"/>
    <w:tmpl w:val="13B8D6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97852"/>
    <w:multiLevelType w:val="multilevel"/>
    <w:tmpl w:val="731C9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BE591F"/>
    <w:multiLevelType w:val="multilevel"/>
    <w:tmpl w:val="A6301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841C97"/>
    <w:multiLevelType w:val="multilevel"/>
    <w:tmpl w:val="13609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C05B8D"/>
    <w:multiLevelType w:val="hybridMultilevel"/>
    <w:tmpl w:val="EB048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73860"/>
    <w:multiLevelType w:val="multilevel"/>
    <w:tmpl w:val="DD36EC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675BC8"/>
    <w:multiLevelType w:val="multilevel"/>
    <w:tmpl w:val="8320E8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B3632D"/>
    <w:multiLevelType w:val="multilevel"/>
    <w:tmpl w:val="01405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AF1367"/>
    <w:multiLevelType w:val="multilevel"/>
    <w:tmpl w:val="FA40E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0C6321"/>
    <w:multiLevelType w:val="multilevel"/>
    <w:tmpl w:val="7CDED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3"/>
  </w:num>
  <w:num w:numId="5">
    <w:abstractNumId w:val="12"/>
  </w:num>
  <w:num w:numId="6">
    <w:abstractNumId w:val="10"/>
  </w:num>
  <w:num w:numId="7">
    <w:abstractNumId w:val="9"/>
  </w:num>
  <w:num w:numId="8">
    <w:abstractNumId w:val="7"/>
  </w:num>
  <w:num w:numId="9">
    <w:abstractNumId w:val="2"/>
  </w:num>
  <w:num w:numId="10">
    <w:abstractNumId w:val="4"/>
  </w:num>
  <w:num w:numId="11">
    <w:abstractNumId w:val="0"/>
  </w:num>
  <w:num w:numId="12">
    <w:abstractNumId w:val="11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CF"/>
    <w:rsid w:val="000D5B31"/>
    <w:rsid w:val="001430FA"/>
    <w:rsid w:val="00255EEE"/>
    <w:rsid w:val="00311551"/>
    <w:rsid w:val="00366E89"/>
    <w:rsid w:val="00370413"/>
    <w:rsid w:val="00422DD1"/>
    <w:rsid w:val="00432F2D"/>
    <w:rsid w:val="00433A17"/>
    <w:rsid w:val="005373C5"/>
    <w:rsid w:val="005E46B5"/>
    <w:rsid w:val="00604206"/>
    <w:rsid w:val="006A418B"/>
    <w:rsid w:val="006D5DDE"/>
    <w:rsid w:val="007523D1"/>
    <w:rsid w:val="007F6062"/>
    <w:rsid w:val="00802FEA"/>
    <w:rsid w:val="008240C4"/>
    <w:rsid w:val="00874116"/>
    <w:rsid w:val="008C62DE"/>
    <w:rsid w:val="008F3CAC"/>
    <w:rsid w:val="00A14C6F"/>
    <w:rsid w:val="00A21B35"/>
    <w:rsid w:val="00A41E38"/>
    <w:rsid w:val="00AA262B"/>
    <w:rsid w:val="00B964CF"/>
    <w:rsid w:val="00C75E82"/>
    <w:rsid w:val="00CD021F"/>
    <w:rsid w:val="00D945EA"/>
    <w:rsid w:val="00DE4514"/>
    <w:rsid w:val="00DF6C32"/>
    <w:rsid w:val="00E67499"/>
    <w:rsid w:val="00F006D4"/>
    <w:rsid w:val="00FA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FD06E"/>
  <w15:docId w15:val="{E13077F9-E52F-41EA-BDA7-305410D9B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1E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15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5D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E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41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F3CAC"/>
    <w:pPr>
      <w:spacing w:after="0" w:line="240" w:lineRule="auto"/>
    </w:pPr>
  </w:style>
  <w:style w:type="character" w:styleId="a5">
    <w:name w:val="Strong"/>
    <w:basedOn w:val="a0"/>
    <w:uiPriority w:val="22"/>
    <w:qFormat/>
    <w:rsid w:val="000D5B31"/>
    <w:rPr>
      <w:b/>
      <w:bCs/>
    </w:rPr>
  </w:style>
  <w:style w:type="character" w:styleId="a6">
    <w:name w:val="Hyperlink"/>
    <w:basedOn w:val="a0"/>
    <w:uiPriority w:val="99"/>
    <w:semiHidden/>
    <w:unhideWhenUsed/>
    <w:rsid w:val="000D5B31"/>
    <w:rPr>
      <w:color w:val="0000FF"/>
      <w:u w:val="single"/>
    </w:rPr>
  </w:style>
  <w:style w:type="character" w:styleId="a7">
    <w:name w:val="Emphasis"/>
    <w:basedOn w:val="a0"/>
    <w:uiPriority w:val="20"/>
    <w:qFormat/>
    <w:rsid w:val="00D945EA"/>
    <w:rPr>
      <w:i/>
      <w:iCs/>
    </w:rPr>
  </w:style>
  <w:style w:type="character" w:customStyle="1" w:styleId="grame">
    <w:name w:val="grame"/>
    <w:basedOn w:val="a0"/>
    <w:rsid w:val="00311551"/>
  </w:style>
  <w:style w:type="character" w:customStyle="1" w:styleId="20">
    <w:name w:val="Заголовок 2 Знак"/>
    <w:basedOn w:val="a0"/>
    <w:link w:val="2"/>
    <w:uiPriority w:val="9"/>
    <w:semiHidden/>
    <w:rsid w:val="003115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D5DD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4119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3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23288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stslab.ru/issledovanie-produktov/pokazateli-kachestva/aminokislotnyj-sosta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НЧК Сангиг</cp:lastModifiedBy>
  <cp:revision>24</cp:revision>
  <dcterms:created xsi:type="dcterms:W3CDTF">2021-10-19T07:54:00Z</dcterms:created>
  <dcterms:modified xsi:type="dcterms:W3CDTF">2023-09-04T06:46:00Z</dcterms:modified>
</cp:coreProperties>
</file>