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7" w:rsidRPr="00460C47" w:rsidRDefault="00460C47" w:rsidP="00460C47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52"/>
        <w:gridCol w:w="4613"/>
      </w:tblGrid>
      <w:tr w:rsidR="007D45B5" w:rsidRPr="00367A34" w:rsidTr="00460C47">
        <w:trPr>
          <w:trHeight w:val="1228"/>
        </w:trPr>
        <w:tc>
          <w:tcPr>
            <w:tcW w:w="5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460C47">
            <w:pPr>
              <w:rPr>
                <w:lang w:val="ru-RU"/>
              </w:rPr>
            </w:pPr>
          </w:p>
        </w:tc>
        <w:tc>
          <w:tcPr>
            <w:tcW w:w="46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 w:rsidP="00460C47">
            <w:pPr>
              <w:ind w:left="-556"/>
              <w:jc w:val="right"/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460C47">
              <w:rPr>
                <w:lang w:val="ru-RU"/>
              </w:rPr>
              <w:br/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Сыбайкасинская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  <w:r w:rsidRPr="00460C4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Арталионова</w:t>
            </w:r>
            <w:proofErr w:type="spellEnd"/>
            <w:r w:rsidRPr="00460C47">
              <w:rPr>
                <w:lang w:val="ru-RU"/>
              </w:rPr>
              <w:br/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460C47" w:rsidRDefault="00460C47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58CD" w:rsidRDefault="006058CD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0C47" w:rsidRPr="00460C47" w:rsidRDefault="00460C47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460C47" w:rsidRPr="00460C47" w:rsidRDefault="00460C47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</w:t>
      </w:r>
    </w:p>
    <w:p w:rsidR="00460C47" w:rsidRPr="00460C47" w:rsidRDefault="00460C47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«Сыбайкасинская основная общеобразовательная школа»</w:t>
      </w:r>
    </w:p>
    <w:p w:rsidR="007D45B5" w:rsidRPr="00460C47" w:rsidRDefault="00460C47" w:rsidP="00460C4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color w:val="000000"/>
          <w:sz w:val="24"/>
          <w:szCs w:val="24"/>
          <w:lang w:val="ru-RU"/>
        </w:rPr>
        <w:t>Моргаушского муниципального округа Чувашской Республики</w:t>
      </w:r>
      <w:r w:rsidRPr="00460C47">
        <w:rPr>
          <w:b/>
          <w:lang w:val="ru-RU"/>
        </w:rPr>
        <w:br/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</w:t>
      </w:r>
    </w:p>
    <w:p w:rsidR="00F159F1" w:rsidRDefault="00F159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45B5" w:rsidRPr="00460C47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6379"/>
      </w:tblGrid>
      <w:tr w:rsidR="007D45B5" w:rsidRPr="00367A34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460C47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«Сыбайкасинская основная общеобразовательная школа» Моргаушского муниципального округа Чувашской Республики</w:t>
            </w:r>
          </w:p>
          <w:p w:rsidR="00460C47" w:rsidRPr="00460C47" w:rsidRDefault="00460C47" w:rsidP="0070698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(МБОУ «Сыбайкасинская ООШ» Моргаушского муниципального округа)</w:t>
            </w:r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Арталионова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Алина Аркадьевна</w:t>
            </w:r>
          </w:p>
        </w:tc>
      </w:tr>
      <w:tr w:rsidR="007D45B5" w:rsidRPr="00367A34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429543, Чувашская Республика, </w:t>
            </w:r>
            <w:proofErr w:type="spellStart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Моргаушский</w:t>
            </w:r>
            <w:proofErr w:type="spellEnd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ыбайкасы</w:t>
            </w:r>
            <w:proofErr w:type="spellEnd"/>
            <w:r w:rsidRPr="00460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ул.Школьная, д. 3</w:t>
            </w:r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88354167217</w:t>
            </w:r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06985">
            <w:r>
              <w:rPr>
                <w:rFonts w:ascii="Times New Roman" w:hAnsi="Times New Roman" w:cs="Times New Roman"/>
                <w:sz w:val="24"/>
                <w:szCs w:val="24"/>
              </w:rPr>
              <w:t>sybai</w:t>
            </w:r>
            <w:r w:rsidRPr="00EB0C37">
              <w:rPr>
                <w:rFonts w:ascii="Times New Roman" w:hAnsi="Times New Roman" w:cs="Times New Roman"/>
                <w:sz w:val="24"/>
                <w:szCs w:val="24"/>
              </w:rPr>
              <w:t>oosh@mail.ru</w:t>
            </w:r>
          </w:p>
        </w:tc>
      </w:tr>
      <w:tr w:rsidR="007D45B5" w:rsidRPr="00367A34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706985" w:rsidRDefault="00706985" w:rsidP="00706985">
            <w:pPr>
              <w:rPr>
                <w:lang w:val="ru-RU"/>
              </w:rPr>
            </w:pP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Моргаушского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округа</w:t>
            </w:r>
            <w:r w:rsidRPr="0070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706985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706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706985" w:rsidRDefault="00706985">
            <w:pPr>
              <w:rPr>
                <w:lang w:val="ru-RU"/>
              </w:rPr>
            </w:pPr>
            <w:r>
              <w:t>№ Л035-01243-21/00246857</w:t>
            </w:r>
            <w:r>
              <w:rPr>
                <w:lang w:val="ru-RU"/>
              </w:rPr>
              <w:t xml:space="preserve"> от 10.08.2011 г.</w:t>
            </w:r>
          </w:p>
        </w:tc>
      </w:tr>
      <w:tr w:rsidR="007D45B5" w:rsidTr="006058CD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706985" w:rsidRDefault="00706985" w:rsidP="0070698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 15.03.2023 № 402   Серия </w:t>
            </w:r>
            <w:r w:rsidRPr="00F3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4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№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1066 </w:t>
            </w:r>
          </w:p>
        </w:tc>
      </w:tr>
    </w:tbl>
    <w:p w:rsidR="007D45B5" w:rsidRDefault="00706985" w:rsidP="006058C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МБОУ «Сыбайкасинская ООШ» Моргаушского муниципального округа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460C47">
        <w:rPr>
          <w:rFonts w:hAnsi="Times New Roman" w:cs="Times New Roman"/>
          <w:color w:val="000000"/>
          <w:sz w:val="24"/>
          <w:szCs w:val="24"/>
        </w:rPr>
        <w:t> 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 w:rsidR="00460C4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сельской местности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, постановлением учредителя к ней закреплены деревни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Сыбайкасы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Иштереки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Вускасы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Верхний</w:t>
      </w:r>
      <w:proofErr w:type="gram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Томлай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, Нижний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Томлай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 и Новый </w:t>
      </w:r>
      <w:proofErr w:type="spellStart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>Томлай</w:t>
      </w:r>
      <w:proofErr w:type="spellEnd"/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дошкольного, 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образования. Также Школа реализует образовательные программы дополнительного образования детей и</w:t>
      </w:r>
      <w:r w:rsidR="00460C47">
        <w:rPr>
          <w:rFonts w:hAnsi="Times New Roman" w:cs="Times New Roman"/>
          <w:color w:val="000000"/>
          <w:sz w:val="24"/>
          <w:szCs w:val="24"/>
        </w:rPr>
        <w:t> </w:t>
      </w:r>
      <w:r w:rsidR="00460C47" w:rsidRPr="00460C47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6058CD" w:rsidRDefault="006058CD" w:rsidP="006058C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9F1" w:rsidRDefault="00F159F1" w:rsidP="006058CD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Pr="00460C47" w:rsidRDefault="00460C47" w:rsidP="006058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7D45B5" w:rsidRPr="00460C47" w:rsidRDefault="00460C47" w:rsidP="006058C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D45B5" w:rsidRPr="00460C47" w:rsidRDefault="00460C47" w:rsidP="006058C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дошкольного,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образования, основными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организовали обучение 1-х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5-х классов по ООП, разработанным по обновленным ФГОС НОО</w:t>
      </w:r>
      <w:r w:rsidR="006058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ООО.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показал, что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>завхоза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10 лет.</w:t>
      </w:r>
    </w:p>
    <w:p w:rsidR="007D45B5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Советник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вовлечение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в творческую деятельность по основным направлениям воспитания;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отдыха и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каникулярный период;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педагогическое стимулирование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самореализации и социально-педагогической поддержке;</w:t>
      </w:r>
    </w:p>
    <w:p w:rsidR="007D45B5" w:rsidRPr="00460C47" w:rsidRDefault="00460C47" w:rsidP="006058C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;к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оординирует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различных детских общественных объединений.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 августе 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Опросы родителей показали, что удовлетворенность качеством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обязательным предметам и курсам внеурочной деятельности повысилась на 10% и 16% соответственно.</w:t>
      </w:r>
    </w:p>
    <w:p w:rsidR="007D45B5" w:rsidRPr="00460C47" w:rsidRDefault="00460C47" w:rsidP="00F159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D45B5" w:rsidRPr="00460C47" w:rsidRDefault="00460C47" w:rsidP="00F159F1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460C47">
        <w:rPr>
          <w:lang w:val="ru-RU"/>
        </w:rPr>
        <w:br/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F159F1" w:rsidRDefault="00460C47" w:rsidP="00F159F1">
      <w:pPr>
        <w:spacing w:before="0" w:beforeAutospacing="0" w:after="0" w:afterAutospacing="0"/>
        <w:contextualSpacing/>
        <w:jc w:val="both"/>
        <w:rPr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7D45B5" w:rsidRPr="00460C47" w:rsidRDefault="00460C47" w:rsidP="00F159F1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За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месяцев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2023/24 учебный год.</w:t>
      </w:r>
    </w:p>
    <w:p w:rsidR="007D45B5" w:rsidRPr="00460C47" w:rsidRDefault="00460C47" w:rsidP="006058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Школа проводила систематическую работ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правонарушения, связанные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7D45B5" w:rsidRPr="00460C47" w:rsidRDefault="00460C47" w:rsidP="006058C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7D45B5" w:rsidRPr="00460C47" w:rsidRDefault="00460C47" w:rsidP="006058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7D45B5" w:rsidRPr="00460C47" w:rsidRDefault="00460C47" w:rsidP="006058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областном конкурсе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рекламы;</w:t>
      </w:r>
    </w:p>
    <w:p w:rsidR="007D45B5" w:rsidRPr="00460C47" w:rsidRDefault="00460C47" w:rsidP="006058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5B5" w:rsidRPr="00460C47" w:rsidRDefault="00460C47" w:rsidP="006058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F159F1" w:rsidRDefault="00460C47" w:rsidP="006058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лекции</w:t>
      </w:r>
      <w:r w:rsidR="00F159F1">
        <w:rPr>
          <w:rFonts w:hAnsi="Times New Roman" w:cs="Times New Roman"/>
          <w:color w:val="000000"/>
          <w:sz w:val="24"/>
          <w:szCs w:val="24"/>
          <w:lang w:val="ru-RU"/>
        </w:rPr>
        <w:t>, беседы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F159F1" w:rsidRPr="00F159F1" w:rsidRDefault="00F159F1" w:rsidP="00F159F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Pr="00460C47" w:rsidRDefault="00460C47" w:rsidP="00F159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D45B5" w:rsidRPr="00460C47" w:rsidRDefault="00460C47" w:rsidP="00931313">
      <w:pPr>
        <w:spacing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7D45B5" w:rsidRDefault="00460C47" w:rsidP="00931313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proofErr w:type="spellEnd"/>
      <w:r w:rsidR="000570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45B5" w:rsidRDefault="00460C47" w:rsidP="00931313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7D45B5" w:rsidRDefault="00460C47" w:rsidP="00931313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7D45B5" w:rsidRDefault="00460C47" w:rsidP="00931313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физкультурно-спортивное;</w:t>
      </w:r>
    </w:p>
    <w:p w:rsidR="007D45B5" w:rsidRDefault="00460C47" w:rsidP="00931313">
      <w:pPr>
        <w:numPr>
          <w:ilvl w:val="0"/>
          <w:numId w:val="3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туристско-краеведческое.</w:t>
      </w:r>
    </w:p>
    <w:p w:rsidR="00057054" w:rsidRDefault="00460C47" w:rsidP="0093131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сентябре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года. </w:t>
      </w:r>
    </w:p>
    <w:p w:rsidR="007D45B5" w:rsidRDefault="00460C47" w:rsidP="0093131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второй половине 2021/2022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дополнительного образования.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удовлетворены подобным форматом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 образованию.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Тем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опрос родителей (законных представителей)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сентябре 2022 года показал, что большая часть опрошенных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931313" w:rsidRPr="00460C47" w:rsidRDefault="00931313" w:rsidP="0093131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Pr="00460C47" w:rsidRDefault="00460C47" w:rsidP="00931313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7D45B5" w:rsidRPr="00460C47" w:rsidRDefault="00460C47" w:rsidP="0093131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7D45B5" w:rsidRDefault="00460C47" w:rsidP="00931313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1"/>
        <w:gridCol w:w="7524"/>
      </w:tblGrid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931313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86119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7D45B5" w:rsidRDefault="00460C47" w:rsidP="0086119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7D45B5" w:rsidRDefault="00460C47" w:rsidP="0086119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7D45B5" w:rsidRDefault="00460C47" w:rsidP="00861190">
            <w:pPr>
              <w:numPr>
                <w:ilvl w:val="0"/>
                <w:numId w:val="4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 w:rsidP="0086119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7D45B5" w:rsidRDefault="00460C47" w:rsidP="0086119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45B5" w:rsidRDefault="00460C47" w:rsidP="0086119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D45B5" w:rsidRDefault="00460C47" w:rsidP="0086119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D45B5" w:rsidRPr="00460C47" w:rsidRDefault="00460C4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7D45B5" w:rsidRPr="00460C47" w:rsidRDefault="00460C4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D45B5" w:rsidRPr="00460C47" w:rsidRDefault="00460C4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7D45B5" w:rsidRDefault="00460C4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 w:rsidP="00861190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7D45B5" w:rsidRPr="00460C47" w:rsidRDefault="00460C47" w:rsidP="00861190">
            <w:pPr>
              <w:numPr>
                <w:ilvl w:val="0"/>
                <w:numId w:val="6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7D45B5" w:rsidRPr="00460C47" w:rsidRDefault="00460C47" w:rsidP="00861190">
            <w:pPr>
              <w:numPr>
                <w:ilvl w:val="0"/>
                <w:numId w:val="6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7D45B5" w:rsidRPr="00460C47" w:rsidRDefault="00460C4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7D45B5" w:rsidRPr="00460C47" w:rsidRDefault="00460C4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7D45B5" w:rsidRPr="00460C47" w:rsidRDefault="00460C47" w:rsidP="00DA294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7D45B5" w:rsidRPr="00460C47" w:rsidRDefault="00460C47" w:rsidP="00DA2949">
      <w:pPr>
        <w:numPr>
          <w:ilvl w:val="0"/>
          <w:numId w:val="7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7D45B5" w:rsidRPr="00460C47" w:rsidRDefault="00460C47" w:rsidP="00DA294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7D45B5" w:rsidRDefault="00460C47" w:rsidP="00DA294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45B5" w:rsidRPr="00460C47" w:rsidRDefault="00460C47" w:rsidP="00DA294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7D45B5" w:rsidRPr="00460C47" w:rsidRDefault="00460C47" w:rsidP="002B363A">
      <w:pPr>
        <w:spacing w:before="0" w:before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40811" w:rsidRDefault="00340811" w:rsidP="002B363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Default="00460C47" w:rsidP="002B363A">
      <w:pPr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2019–2022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3"/>
        <w:gridCol w:w="4018"/>
        <w:gridCol w:w="1276"/>
        <w:gridCol w:w="1134"/>
        <w:gridCol w:w="1418"/>
        <w:gridCol w:w="1186"/>
      </w:tblGrid>
      <w:tr w:rsidR="007D45B5" w:rsidTr="008611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  <w:r w:rsidR="00DA2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 w:rsidR="00DA2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 w:rsidR="00DA2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2022 года</w:t>
            </w:r>
          </w:p>
        </w:tc>
      </w:tr>
      <w:tr w:rsidR="00DA2949" w:rsidTr="008611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460C47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DA2949" w:rsidTr="008611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DA2949" w:rsidTr="008611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A2949" w:rsidTr="008611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949" w:rsidRDefault="00DA2949" w:rsidP="002B36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 w:rsidRPr="00367A34" w:rsidTr="008611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 w:rsidP="002B363A">
            <w:pPr>
              <w:spacing w:before="0" w:beforeAutospacing="0" w:after="0" w:afterAutospacing="0"/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D45B5" w:rsidTr="008611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D45B5" w:rsidRPr="00367A34" w:rsidTr="008611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 w:rsidP="002B363A">
            <w:pPr>
              <w:spacing w:before="0" w:beforeAutospacing="0" w:after="0" w:afterAutospacing="0"/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460C47">
              <w:rPr>
                <w:lang w:val="ru-RU"/>
              </w:rPr>
              <w:br/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D45B5" w:rsidTr="008611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 w:rsidP="002B363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DA2949" w:rsidRDefault="00DA2949" w:rsidP="002B36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2B363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2B363A" w:rsidRDefault="002B363A" w:rsidP="002B36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Pr="00460C47" w:rsidRDefault="00460C47" w:rsidP="002B36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растет количество обучающихся Школы.</w:t>
      </w:r>
    </w:p>
    <w:p w:rsidR="007D45B5" w:rsidRPr="00460C47" w:rsidRDefault="00460C47" w:rsidP="002B363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2022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7D45B5" w:rsidRPr="00460C47" w:rsidRDefault="00460C47" w:rsidP="002B36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2B363A" w:rsidRDefault="00460C47" w:rsidP="002B363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</w:t>
      </w:r>
    </w:p>
    <w:p w:rsidR="007D45B5" w:rsidRPr="002B363A" w:rsidRDefault="00460C47" w:rsidP="002B363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2B363A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363A">
        <w:rPr>
          <w:rFonts w:hAnsi="Times New Roman" w:cs="Times New Roman"/>
          <w:color w:val="000000"/>
          <w:sz w:val="24"/>
          <w:szCs w:val="24"/>
          <w:lang w:val="ru-RU"/>
        </w:rPr>
        <w:t>2022 году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988"/>
        <w:gridCol w:w="622"/>
        <w:gridCol w:w="658"/>
        <w:gridCol w:w="851"/>
        <w:gridCol w:w="723"/>
        <w:gridCol w:w="1261"/>
        <w:gridCol w:w="565"/>
        <w:gridCol w:w="622"/>
        <w:gridCol w:w="347"/>
        <w:gridCol w:w="622"/>
        <w:gridCol w:w="347"/>
        <w:gridCol w:w="937"/>
        <w:gridCol w:w="529"/>
      </w:tblGrid>
      <w:tr w:rsidR="007D45B5" w:rsidTr="00861190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7D45B5" w:rsidTr="00861190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2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 w:rsidTr="00861190">
        <w:trPr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5B5" w:rsidTr="00861190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 w:rsidTr="00861190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 w:rsidTr="00861190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2B363A" w:rsidRDefault="002B36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 w:rsidTr="00861190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45B5" w:rsidRPr="00460C47" w:rsidRDefault="00460C47" w:rsidP="002B36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61190">
        <w:rPr>
          <w:rFonts w:hAnsi="Times New Roman" w:cs="Times New Roman"/>
          <w:color w:val="000000"/>
          <w:sz w:val="24"/>
          <w:szCs w:val="24"/>
          <w:lang w:val="ru-RU"/>
        </w:rPr>
        <w:t>4,5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8611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1190" w:rsidRDefault="00460C47" w:rsidP="0086119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</w:t>
      </w:r>
    </w:p>
    <w:p w:rsidR="007D45B5" w:rsidRPr="00861190" w:rsidRDefault="00460C47" w:rsidP="0086119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861190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1190">
        <w:rPr>
          <w:rFonts w:hAnsi="Times New Roman" w:cs="Times New Roman"/>
          <w:color w:val="000000"/>
          <w:sz w:val="24"/>
          <w:szCs w:val="24"/>
          <w:lang w:val="ru-RU"/>
        </w:rPr>
        <w:t>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803"/>
        <w:gridCol w:w="706"/>
        <w:gridCol w:w="510"/>
        <w:gridCol w:w="1242"/>
        <w:gridCol w:w="390"/>
        <w:gridCol w:w="1242"/>
        <w:gridCol w:w="390"/>
        <w:gridCol w:w="679"/>
        <w:gridCol w:w="377"/>
        <w:gridCol w:w="630"/>
        <w:gridCol w:w="350"/>
        <w:gridCol w:w="950"/>
        <w:gridCol w:w="445"/>
      </w:tblGrid>
      <w:tr w:rsidR="007D45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 w:rsidP="0086119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7D45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931313" w:rsidRDefault="0093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 w:rsidP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861190" w:rsidRDefault="008611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E30E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DA364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E30EAC" w:rsidRDefault="00DA364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 w:rsidP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Pr="00DA364E" w:rsidRDefault="00DA36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45B5" w:rsidRPr="00460C47" w:rsidRDefault="00460C47" w:rsidP="00DA36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DA364E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364E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DA36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«5», стабилен</w:t>
      </w:r>
      <w:r w:rsidR="00DA36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26A7" w:rsidRDefault="00460C47" w:rsidP="003408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ВПР проводили в сентябре и октябре – в </w:t>
      </w:r>
      <w:r w:rsidR="00DA364E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9-х классах.</w:t>
      </w:r>
      <w:r w:rsidR="00B726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ВПР все обучающиеся получили удовлетворительные отметки.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переносом большей части ВПР на осень, результаты не использовались в качестве промежуточной аттестации. </w:t>
      </w:r>
      <w:r w:rsidR="00B726A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проводилась в апреле-мае месяцах.</w:t>
      </w:r>
    </w:p>
    <w:p w:rsidR="007D45B5" w:rsidRPr="005E400C" w:rsidRDefault="00B726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мае-июне месяцах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проходили ГИА.  Кроме обязательных предметов для сдачи экзамена русского языка и математики, 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девятиклассники выбрали географию и информатику. По итогам ГИА 100% </w:t>
      </w:r>
      <w:proofErr w:type="gramStart"/>
      <w:r w:rsidR="005E40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получили аттестаты об основном общем образовании.</w:t>
      </w:r>
    </w:p>
    <w:p w:rsidR="007D45B5" w:rsidRPr="005E400C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E40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одну смену.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 01.0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.2022 Школа организовала изучение государственных символов России. В рабочие программы воспитания НОО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7D45B5" w:rsidRPr="00460C47" w:rsidRDefault="00460C47" w:rsidP="005E40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</w:t>
      </w:r>
      <w:proofErr w:type="gram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 в соответствии с письмом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7D45B5" w:rsidRPr="00460C47" w:rsidRDefault="007D45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45B5" w:rsidRDefault="00460C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970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40"/>
        <w:gridCol w:w="1954"/>
        <w:gridCol w:w="2693"/>
        <w:gridCol w:w="3820"/>
      </w:tblGrid>
      <w:tr w:rsidR="005E400C" w:rsidRPr="00460C47" w:rsidTr="005E400C">
        <w:trPr>
          <w:trHeight w:val="8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Default="005E40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460C47" w:rsidRDefault="005E400C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>
              <w:rPr>
                <w:lang w:val="ru-RU"/>
              </w:rPr>
              <w:t xml:space="preserve"> 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460C4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Default="005E40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5E400C" w:rsidTr="005E400C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Default="005E400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400C" w:rsidTr="005E400C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Default="005E400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400C" w:rsidTr="005E400C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Default="005E400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00C" w:rsidRPr="005E400C" w:rsidRDefault="005E40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7D45B5" w:rsidRPr="00460C47" w:rsidRDefault="00460C47" w:rsidP="00D16D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увеличилось число выпускников 9-го класса, которые 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поступили на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>в профессиональные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="005E40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45B5" w:rsidRPr="00460C47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D45B5" w:rsidRPr="00460C47" w:rsidRDefault="00460C47" w:rsidP="00D16D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 xml:space="preserve"> 13 с высшим педагогическим образованием,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человек имеет среднее специальное образование.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2022 году аттестацию прошли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6DDB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квалификационную категорию.</w:t>
      </w:r>
    </w:p>
    <w:p w:rsidR="007D45B5" w:rsidRPr="00460C47" w:rsidRDefault="00460C47" w:rsidP="00D16D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7D45B5" w:rsidRPr="00460C47" w:rsidRDefault="00460C47" w:rsidP="00D16DD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D45B5" w:rsidRPr="00460C47" w:rsidRDefault="00460C47" w:rsidP="00D16DD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7D45B5" w:rsidRPr="00460C47" w:rsidRDefault="00460C47" w:rsidP="00D16DD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7D45B5" w:rsidRDefault="00460C47" w:rsidP="00D16DD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45B5" w:rsidRPr="00460C47" w:rsidRDefault="00460C47" w:rsidP="00D16D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7D45B5" w:rsidRPr="00460C47" w:rsidRDefault="00460C47" w:rsidP="00BA77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7D45B5" w:rsidRPr="00460C47" w:rsidRDefault="00460C47" w:rsidP="00BA778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7D45B5" w:rsidRPr="00BB75B5" w:rsidRDefault="00460C47" w:rsidP="00BA778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</w:t>
      </w:r>
      <w:r w:rsidR="00BB75B5">
        <w:rPr>
          <w:rFonts w:hAnsi="Times New Roman" w:cs="Times New Roman"/>
          <w:color w:val="000000"/>
          <w:sz w:val="24"/>
          <w:szCs w:val="24"/>
          <w:lang w:val="ru-RU"/>
        </w:rPr>
        <w:t>в.</w:t>
      </w:r>
    </w:p>
    <w:p w:rsidR="007D45B5" w:rsidRPr="00460C47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7D45B5" w:rsidRPr="00460C47" w:rsidRDefault="00460C47" w:rsidP="00BA7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7D45B5" w:rsidRPr="00460C47" w:rsidRDefault="00460C47" w:rsidP="00BA7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858.</w:t>
      </w:r>
      <w:r w:rsidR="00BB75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 w:rsidR="00BA7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D45B5" w:rsidRPr="00460C47" w:rsidRDefault="00460C47" w:rsidP="008634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</w:t>
      </w:r>
      <w:r w:rsidR="00BA778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и 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 художественной литературы.</w:t>
      </w:r>
    </w:p>
    <w:p w:rsidR="007D45B5" w:rsidRPr="00460C47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7D45B5" w:rsidRPr="00340811" w:rsidRDefault="00460C47" w:rsidP="003408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оборудованы </w:t>
      </w:r>
      <w:r w:rsidR="00BA778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учебных кабинет</w:t>
      </w:r>
      <w:r w:rsidR="008634CD">
        <w:rPr>
          <w:rFonts w:hAnsi="Times New Roman" w:cs="Times New Roman"/>
          <w:color w:val="000000"/>
          <w:sz w:val="24"/>
          <w:szCs w:val="24"/>
          <w:lang w:val="ru-RU"/>
        </w:rPr>
        <w:t>ов, которые оснащены необходимым оборудованием. В 2022 году спортзал школы был капитально отремонтирован за счет федерального, республиканского и местного бюджета, закуплено новое оборудование и мебель. Столовая школы и коридоры и один учебный кабинет были окрашены. В котельной школы проведен ремонт пола и мягкой кровли.</w:t>
      </w:r>
    </w:p>
    <w:p w:rsidR="007D45B5" w:rsidRPr="00460C47" w:rsidRDefault="00460C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D45B5" w:rsidRPr="00460C47" w:rsidRDefault="00460C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0C4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98"/>
        <w:gridCol w:w="1494"/>
        <w:gridCol w:w="1433"/>
      </w:tblGrid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D45B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340811" w:rsidP="003408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460C4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460C47">
              <w:rPr>
                <w:lang w:val="ru-RU"/>
              </w:rPr>
              <w:br/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340811" w:rsidP="003408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40811" w:rsidRDefault="003408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(0 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540E26" w:rsidRDefault="00540E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7D45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540E26" w:rsidRDefault="00540E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540E26" w:rsidRDefault="00540E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540E26" w:rsidP="00540E2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460C47" w:rsidRDefault="00460C47">
            <w:pPr>
              <w:rPr>
                <w:lang w:val="ru-RU"/>
              </w:rPr>
            </w:pP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C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 w:rsidP="00C9406D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 w:rsidR="00C94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D4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460C47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7D45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Default="00C940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60C4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367A34" w:rsidP="00367A34"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460C47" w:rsidRPr="00367A3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460C47" w:rsidRPr="00367A3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367A34" w:rsidP="00367A34"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460C47" w:rsidRPr="00367A3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="00460C47" w:rsidRPr="00367A34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D45B5" w:rsidRPr="00367A3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 w:rsidP="00367A34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</w:rPr>
              <w:t>0,</w:t>
            </w:r>
            <w:r w:rsidR="00367A34" w:rsidRPr="00367A3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учебно-методической литературы от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367A34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Наличие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Школе читального зала библиотеки,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том числе наличие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7D45B5" w:rsidRPr="00367A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рабочих мест для работы на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7D45B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7D45B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сре</w:t>
            </w:r>
            <w:proofErr w:type="gramStart"/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дств ск</w:t>
            </w:r>
            <w:proofErr w:type="gramEnd"/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анирования и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7D45B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выхода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интернет с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7D45B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7D45B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r w:rsidRPr="00367A3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менее 2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Мб/</w:t>
            </w:r>
            <w:proofErr w:type="gramStart"/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, от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7A3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67A3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367A34"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  <w:r w:rsidR="00460C47" w:rsidRPr="00367A34">
              <w:rPr>
                <w:rFonts w:hAnsi="Times New Roman" w:cs="Times New Roman"/>
                <w:sz w:val="24"/>
                <w:szCs w:val="24"/>
              </w:rPr>
              <w:t>(100%)</w:t>
            </w:r>
          </w:p>
        </w:tc>
      </w:tr>
      <w:tr w:rsidR="007D45B5" w:rsidRPr="00367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367A34">
              <w:rPr>
                <w:rFonts w:hAnsi="Times New Roman" w:cs="Times New Roman"/>
                <w:sz w:val="24"/>
                <w:szCs w:val="24"/>
              </w:rPr>
              <w:t> </w:t>
            </w: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460C47">
            <w:proofErr w:type="spellStart"/>
            <w:proofErr w:type="gramStart"/>
            <w:r w:rsidRPr="00367A34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367A34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5B5" w:rsidRPr="00367A34" w:rsidRDefault="00367A34">
            <w:pPr>
              <w:rPr>
                <w:lang w:val="ru-RU"/>
              </w:rPr>
            </w:pPr>
            <w:r w:rsidRPr="00367A34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7D45B5" w:rsidRPr="00367A34" w:rsidRDefault="00460C47">
      <w:pPr>
        <w:rPr>
          <w:rFonts w:hAnsi="Times New Roman" w:cs="Times New Roman"/>
          <w:sz w:val="24"/>
          <w:szCs w:val="24"/>
          <w:lang w:val="ru-RU"/>
        </w:rPr>
      </w:pPr>
      <w:r w:rsidRPr="00367A34">
        <w:rPr>
          <w:rFonts w:hAnsi="Times New Roman" w:cs="Times New Roman"/>
          <w:sz w:val="24"/>
          <w:szCs w:val="24"/>
          <w:lang w:val="ru-RU"/>
        </w:rPr>
        <w:lastRenderedPageBreak/>
        <w:t>Анализ показателей указывает на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молодежи»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ФГОС общего образования.</w:t>
      </w:r>
    </w:p>
    <w:p w:rsidR="007D45B5" w:rsidRDefault="00460C47">
      <w:pPr>
        <w:rPr>
          <w:rFonts w:hAnsi="Times New Roman" w:cs="Times New Roman"/>
          <w:sz w:val="24"/>
          <w:szCs w:val="24"/>
          <w:lang w:val="ru-RU"/>
        </w:rPr>
      </w:pPr>
      <w:r w:rsidRPr="00367A34">
        <w:rPr>
          <w:rFonts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367A34">
        <w:rPr>
          <w:rFonts w:hAnsi="Times New Roman" w:cs="Times New Roman"/>
          <w:sz w:val="24"/>
          <w:szCs w:val="24"/>
        </w:rPr>
        <w:t> </w:t>
      </w:r>
      <w:r w:rsidRPr="00367A34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367A34" w:rsidRDefault="00367A34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82"/>
        <w:gridCol w:w="2142"/>
        <w:gridCol w:w="331"/>
        <w:gridCol w:w="2816"/>
        <w:gridCol w:w="10"/>
      </w:tblGrid>
      <w:tr w:rsidR="00367A34" w:rsidRPr="001E0CBD" w:rsidTr="00735642">
        <w:tc>
          <w:tcPr>
            <w:tcW w:w="6755" w:type="dxa"/>
            <w:gridSpan w:val="3"/>
            <w:hideMark/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0CBD">
              <w:rPr>
                <w:rFonts w:ascii="Times New Roman" w:hAnsi="Times New Roman" w:cs="Times New Roman"/>
              </w:rPr>
              <w:t>Дата</w:t>
            </w:r>
            <w:proofErr w:type="spellEnd"/>
            <w:r w:rsidRPr="001E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BD">
              <w:rPr>
                <w:rFonts w:ascii="Times New Roman" w:hAnsi="Times New Roman" w:cs="Times New Roman"/>
              </w:rPr>
              <w:t>заполнения</w:t>
            </w:r>
            <w:proofErr w:type="spellEnd"/>
            <w:r w:rsidRPr="001E0CB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4" w:rsidRPr="001E0CBD" w:rsidRDefault="00367A34" w:rsidP="00367A3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C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1E0CB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апреля</w:t>
            </w:r>
            <w:r w:rsidRPr="001E0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1E0CB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67A34" w:rsidRPr="001E0CBD" w:rsidTr="00735642">
        <w:tc>
          <w:tcPr>
            <w:tcW w:w="4282" w:type="dxa"/>
            <w:hideMark/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0CBD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0CBD">
              <w:rPr>
                <w:rFonts w:ascii="Times New Roman" w:hAnsi="Times New Roman" w:cs="Times New Roman"/>
              </w:rPr>
              <w:t>Арталионова</w:t>
            </w:r>
            <w:proofErr w:type="spellEnd"/>
            <w:r w:rsidRPr="001E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BD">
              <w:rPr>
                <w:rFonts w:ascii="Times New Roman" w:hAnsi="Times New Roman" w:cs="Times New Roman"/>
              </w:rPr>
              <w:t>Алина</w:t>
            </w:r>
            <w:proofErr w:type="spellEnd"/>
            <w:r w:rsidRPr="001E0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BD">
              <w:rPr>
                <w:rFonts w:ascii="Times New Roman" w:hAnsi="Times New Roman" w:cs="Times New Roman"/>
              </w:rPr>
              <w:t>Аркадьевна</w:t>
            </w:r>
            <w:proofErr w:type="spellEnd"/>
          </w:p>
        </w:tc>
      </w:tr>
      <w:tr w:rsidR="00367A34" w:rsidRPr="001E0CBD" w:rsidTr="00735642">
        <w:trPr>
          <w:gridAfter w:val="1"/>
          <w:wAfter w:w="10" w:type="dxa"/>
        </w:trPr>
        <w:tc>
          <w:tcPr>
            <w:tcW w:w="6755" w:type="dxa"/>
            <w:gridSpan w:val="3"/>
            <w:hideMark/>
          </w:tcPr>
          <w:p w:rsidR="00367A34" w:rsidRPr="001E0CBD" w:rsidRDefault="00367A34" w:rsidP="0073564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0CBD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  <w:proofErr w:type="spellStart"/>
            <w:r w:rsidRPr="001E0CB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67A34" w:rsidRPr="001E0CBD" w:rsidRDefault="00367A34" w:rsidP="00735642">
            <w:pPr>
              <w:suppressAutoHyphens/>
              <w:snapToGrid w:val="0"/>
              <w:ind w:firstLine="7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0CBD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</w:tr>
    </w:tbl>
    <w:p w:rsidR="00367A34" w:rsidRPr="00367A34" w:rsidRDefault="00367A34">
      <w:pPr>
        <w:rPr>
          <w:rFonts w:hAnsi="Times New Roman" w:cs="Times New Roman"/>
          <w:sz w:val="24"/>
          <w:szCs w:val="24"/>
          <w:lang w:val="ru-RU"/>
        </w:rPr>
      </w:pPr>
    </w:p>
    <w:sectPr w:rsidR="00367A34" w:rsidRPr="00367A34" w:rsidSect="00F159F1">
      <w:pgSz w:w="11907" w:h="16839"/>
      <w:pgMar w:top="851" w:right="992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35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86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13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E5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A7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27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1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17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C4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D1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E1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67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7054"/>
    <w:rsid w:val="002B363A"/>
    <w:rsid w:val="002D33B1"/>
    <w:rsid w:val="002D3591"/>
    <w:rsid w:val="00340811"/>
    <w:rsid w:val="003514A0"/>
    <w:rsid w:val="00367A34"/>
    <w:rsid w:val="00460C47"/>
    <w:rsid w:val="004F7E17"/>
    <w:rsid w:val="00540E26"/>
    <w:rsid w:val="005A05CE"/>
    <w:rsid w:val="005E400C"/>
    <w:rsid w:val="006058CD"/>
    <w:rsid w:val="00653AF6"/>
    <w:rsid w:val="00706985"/>
    <w:rsid w:val="007D45B5"/>
    <w:rsid w:val="00861190"/>
    <w:rsid w:val="008634CD"/>
    <w:rsid w:val="00931313"/>
    <w:rsid w:val="009E3B4A"/>
    <w:rsid w:val="00B726A7"/>
    <w:rsid w:val="00B73A5A"/>
    <w:rsid w:val="00BA7788"/>
    <w:rsid w:val="00BB75B5"/>
    <w:rsid w:val="00C9406D"/>
    <w:rsid w:val="00D16DDB"/>
    <w:rsid w:val="00DA2949"/>
    <w:rsid w:val="00DA364E"/>
    <w:rsid w:val="00E30EAC"/>
    <w:rsid w:val="00E438A1"/>
    <w:rsid w:val="00F01E19"/>
    <w:rsid w:val="00F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0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3</cp:revision>
  <dcterms:created xsi:type="dcterms:W3CDTF">2011-11-02T04:15:00Z</dcterms:created>
  <dcterms:modified xsi:type="dcterms:W3CDTF">2023-05-04T20:46:00Z</dcterms:modified>
</cp:coreProperties>
</file>