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F" w:rsidRDefault="000F7F2F" w:rsidP="000F7F2F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0F7F2F" w:rsidRDefault="000F7F2F" w:rsidP="000F7F2F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0F7F2F" w:rsidRDefault="000F7F2F" w:rsidP="000F7F2F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0F7F2F" w:rsidTr="000F7F2F">
        <w:tc>
          <w:tcPr>
            <w:tcW w:w="4203" w:type="dxa"/>
          </w:tcPr>
          <w:p w:rsidR="000F7F2F" w:rsidRDefault="000F7F2F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протокол №4  от 13.01.2022 года</w:t>
            </w:r>
          </w:p>
          <w:p w:rsidR="000F7F2F" w:rsidRDefault="000F7F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F7F2F" w:rsidRDefault="000F7F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0F7F2F" w:rsidRDefault="000F7F2F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0F7F2F" w:rsidRDefault="000F7F2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0F7F2F" w:rsidRDefault="000F7F2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theme="minorBidi"/>
                <w:color w:val="000000"/>
                <w:sz w:val="20"/>
                <w:szCs w:val="24"/>
                <w:lang w:eastAsia="en-US"/>
              </w:rPr>
            </w:pPr>
          </w:p>
          <w:p w:rsidR="000F7F2F" w:rsidRDefault="000F7F2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0F7F2F" w:rsidRPr="000F7F2F" w:rsidRDefault="00D00BCC" w:rsidP="000F7F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7F2F">
        <w:rPr>
          <w:rFonts w:ascii="Times New Roman" w:hAnsi="Times New Roman"/>
          <w:sz w:val="24"/>
          <w:szCs w:val="24"/>
        </w:rPr>
        <w:t>Положение о комиссии по осуществлению закупок на поставку товаров, оказание усл</w:t>
      </w:r>
      <w:r w:rsidR="00CB6086" w:rsidRPr="000F7F2F">
        <w:rPr>
          <w:rFonts w:ascii="Times New Roman" w:hAnsi="Times New Roman"/>
          <w:sz w:val="24"/>
          <w:szCs w:val="24"/>
        </w:rPr>
        <w:t>уг, выполнение работ для нужд МА</w:t>
      </w:r>
      <w:r w:rsidRPr="000F7F2F">
        <w:rPr>
          <w:rFonts w:ascii="Times New Roman" w:hAnsi="Times New Roman"/>
          <w:sz w:val="24"/>
          <w:szCs w:val="24"/>
        </w:rPr>
        <w:t>ОУ «Сугутская СОШ»</w:t>
      </w:r>
    </w:p>
    <w:p w:rsidR="00D00BCC" w:rsidRPr="005E5F50" w:rsidRDefault="00D00BCC" w:rsidP="000F7F2F">
      <w:pPr>
        <w:pStyle w:val="a3"/>
        <w:jc w:val="center"/>
      </w:pPr>
      <w:r w:rsidRPr="000F7F2F">
        <w:rPr>
          <w:rFonts w:ascii="Times New Roman" w:hAnsi="Times New Roman"/>
          <w:sz w:val="24"/>
          <w:szCs w:val="24"/>
        </w:rPr>
        <w:t>Б</w:t>
      </w:r>
      <w:r w:rsidR="005E5F50" w:rsidRPr="000F7F2F">
        <w:rPr>
          <w:rFonts w:ascii="Times New Roman" w:hAnsi="Times New Roman"/>
          <w:sz w:val="24"/>
          <w:szCs w:val="24"/>
        </w:rPr>
        <w:t>атыревского района Ч</w:t>
      </w:r>
      <w:r w:rsidRPr="000F7F2F">
        <w:rPr>
          <w:rFonts w:ascii="Times New Roman" w:hAnsi="Times New Roman"/>
          <w:sz w:val="24"/>
          <w:szCs w:val="24"/>
        </w:rPr>
        <w:t>увашской Республики</w:t>
      </w:r>
    </w:p>
    <w:p w:rsidR="00D00BCC" w:rsidRPr="005E5F50" w:rsidRDefault="00D00BCC" w:rsidP="00D00BCC">
      <w:pPr>
        <w:tabs>
          <w:tab w:val="left" w:pos="5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CC" w:rsidRPr="005E5F50" w:rsidRDefault="00D00BCC" w:rsidP="00D00BCC">
      <w:pPr>
        <w:numPr>
          <w:ilvl w:val="0"/>
          <w:numId w:val="1"/>
        </w:numPr>
        <w:tabs>
          <w:tab w:val="left" w:pos="5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50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D00BCC" w:rsidRPr="005E5F50" w:rsidRDefault="00D00BCC" w:rsidP="00D00BCC">
      <w:pPr>
        <w:numPr>
          <w:ilvl w:val="1"/>
          <w:numId w:val="1"/>
        </w:num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Настоящее Положение о комиссии по осуществлению закупок на поставку товаров, оказание усл</w:t>
      </w:r>
      <w:r w:rsidR="00CB6086" w:rsidRPr="005E5F50">
        <w:rPr>
          <w:rFonts w:ascii="Times New Roman" w:hAnsi="Times New Roman" w:cs="Times New Roman"/>
          <w:sz w:val="24"/>
          <w:szCs w:val="24"/>
        </w:rPr>
        <w:t>уг, выполнения работ для нужд МА</w:t>
      </w:r>
      <w:r w:rsidRPr="005E5F50">
        <w:rPr>
          <w:rFonts w:ascii="Times New Roman" w:hAnsi="Times New Roman" w:cs="Times New Roman"/>
          <w:sz w:val="24"/>
          <w:szCs w:val="24"/>
        </w:rPr>
        <w:t>ОУ «Сугутская СОШ» Батыревского района Чувашской Республики (дале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 xml:space="preserve"> Положение) определяет понятие, цели создания, функции, состав и порядок работы комиссии по осуществлению закупок на поставку  товаров, оказание усл</w:t>
      </w:r>
      <w:r w:rsidR="00CB6086" w:rsidRPr="005E5F50">
        <w:rPr>
          <w:rFonts w:ascii="Times New Roman" w:hAnsi="Times New Roman" w:cs="Times New Roman"/>
          <w:sz w:val="24"/>
          <w:szCs w:val="24"/>
        </w:rPr>
        <w:t>уг, выполнение работ для нужд МА</w:t>
      </w:r>
      <w:r w:rsidRPr="005E5F50">
        <w:rPr>
          <w:rFonts w:ascii="Times New Roman" w:hAnsi="Times New Roman" w:cs="Times New Roman"/>
          <w:sz w:val="24"/>
          <w:szCs w:val="24"/>
        </w:rPr>
        <w:t>ОУ «Сугутская СОШ» Батыревского района Чувашской Республики (далее –Единая комиссия) путем проведения торгов в форме открытого конкурса, конкурса с ограниченным участием, двухэтапного конкурса, открытого аукциона в электронной форме, а также без проведения торгов способом запроса  котировок, запроса предложений.</w:t>
      </w:r>
    </w:p>
    <w:p w:rsidR="00D00BCC" w:rsidRPr="005E5F50" w:rsidRDefault="00D00BCC" w:rsidP="00D00BCC">
      <w:pPr>
        <w:numPr>
          <w:ilvl w:val="1"/>
          <w:numId w:val="1"/>
        </w:num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Процедуры закупок на поставку товаров, выполнение работ, оказание услуг для нужд Заказчика проводится Заказчиком (Уполномоченным органом), при этом Заказчи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>Уполномоченный орган) вправе привлечь на основе договора Специализированную организацию для осуществления отдельных функций по проведению процедур закупки. Специализированная организация привлекается Заказчиком (Уполномоченным органом) с соблюдением процедур, предусмотренных законодательством Российской Федерации о закупках товаров, выполнения работ, оказания услуг для государственных и муниципальных нужд.</w:t>
      </w:r>
    </w:p>
    <w:p w:rsidR="00D00BCC" w:rsidRPr="005E5F50" w:rsidRDefault="00D00BCC" w:rsidP="00D00BCC">
      <w:pPr>
        <w:numPr>
          <w:ilvl w:val="1"/>
          <w:numId w:val="1"/>
        </w:num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В процессе проведения процедур закупок Единая комиссия взаимодействует с Заказчиком (Уполномоченным органом) и Специализированной организацией, в порядке, установленном  настоящим Положением. 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CC" w:rsidRPr="005E5F50" w:rsidRDefault="00D00BCC" w:rsidP="00D00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b/>
          <w:sz w:val="24"/>
          <w:szCs w:val="24"/>
        </w:rPr>
        <w:t>2. Правовое регулирование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>Единая комиссия в своей деятельности руководствуется Гражданским кодексом РФ, Бюджетным кодексом РФ,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Федеральным законом от 26.07.2006 № 135-ФЗ «О защите конкуренции», иными федеральными законами, нормативными актами Российской Федерации о размещении заказов и настоящим Положением.</w:t>
      </w:r>
      <w:proofErr w:type="gramEnd"/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CC" w:rsidRPr="005E5F50" w:rsidRDefault="00D00BCC" w:rsidP="00D00BC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50">
        <w:rPr>
          <w:rFonts w:ascii="Times New Roman" w:hAnsi="Times New Roman" w:cs="Times New Roman"/>
          <w:b/>
          <w:sz w:val="24"/>
          <w:szCs w:val="24"/>
        </w:rPr>
        <w:t>Цели и задачи Единой комиссии</w:t>
      </w:r>
    </w:p>
    <w:p w:rsidR="00D00BCC" w:rsidRPr="005E5F50" w:rsidRDefault="00D00BCC" w:rsidP="00D00BC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Единая комиссия создается в целях:</w:t>
      </w:r>
    </w:p>
    <w:p w:rsidR="00D00BCC" w:rsidRPr="005E5F50" w:rsidRDefault="00D00BCC" w:rsidP="00D00BCC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Определения участников открытого конкурса, конкурса с ограниченным участием, двухэтапного конкурса, открытого аукциона в электронной форме, а также без проведения торгов способом запроса котировок, запроса предложений;</w:t>
      </w:r>
    </w:p>
    <w:p w:rsidR="00D00BCC" w:rsidRPr="005E5F50" w:rsidRDefault="00D00BCC" w:rsidP="00D00BCC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lastRenderedPageBreak/>
        <w:t>Проведения итогов  и определения победителей открытого конкурса, конкурса с ограниченным участием, двухэтапного конкурса, открытого аукциона в электронной форме, а так же без проведения торгов способом запроса котировок, запроса предложений;</w:t>
      </w:r>
    </w:p>
    <w:p w:rsidR="00D00BCC" w:rsidRPr="005E5F50" w:rsidRDefault="00D00BCC" w:rsidP="00D00BCC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Подведение итогов и определения победителей открытого конкурса, конкурса с ограниченным участием, двухэтапного конкурса, открытого аукциона в электронной форме, а также без проведения торгов способом запроса котировок, запроса предложений;</w:t>
      </w:r>
    </w:p>
    <w:p w:rsidR="00D00BCC" w:rsidRPr="005E5F50" w:rsidRDefault="00D00BCC" w:rsidP="00D00BC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Исходя из целей деятельности Единой комиссии, определенных в настоящем Положении, в задачи Единой комиссии входит:</w:t>
      </w:r>
    </w:p>
    <w:p w:rsidR="00D00BCC" w:rsidRPr="005E5F50" w:rsidRDefault="00D00BCC" w:rsidP="00D00BCC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 и подписанных в соответствии с нормативными правовыми актами Российской Федерации;</w:t>
      </w:r>
    </w:p>
    <w:p w:rsidR="00D00BCC" w:rsidRPr="005E5F50" w:rsidRDefault="00D00BCC" w:rsidP="00D00BCC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Обеспечение объективности при рассмотрении и оценке котировочных заявок, заявок на участие в запросе предложений, поданных на бумажном носителе, либо поданных 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 xml:space="preserve"> электронных документов;</w:t>
      </w:r>
    </w:p>
    <w:p w:rsidR="00D00BCC" w:rsidRPr="005E5F50" w:rsidRDefault="00D00BCC" w:rsidP="00D00BCC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Обеспечение эффективности и экономности использования бюджетных средств и (или) средств внебюджетных средств источников финансирования;</w:t>
      </w:r>
    </w:p>
    <w:p w:rsidR="00D00BCC" w:rsidRPr="005E5F50" w:rsidRDefault="00D00BCC" w:rsidP="00D00BCC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Соблюдение принципов публичности, прозрачности, </w:t>
      </w:r>
      <w:proofErr w:type="spellStart"/>
      <w:r w:rsidRPr="005E5F50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5E5F50">
        <w:rPr>
          <w:rFonts w:ascii="Times New Roman" w:hAnsi="Times New Roman" w:cs="Times New Roman"/>
          <w:sz w:val="24"/>
          <w:szCs w:val="24"/>
        </w:rPr>
        <w:t xml:space="preserve">, равных условий и </w:t>
      </w:r>
      <w:proofErr w:type="spellStart"/>
      <w:r w:rsidRPr="005E5F50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Pr="005E5F50">
        <w:rPr>
          <w:rFonts w:ascii="Times New Roman" w:hAnsi="Times New Roman" w:cs="Times New Roman"/>
          <w:sz w:val="24"/>
          <w:szCs w:val="24"/>
        </w:rPr>
        <w:t xml:space="preserve"> при проведении закупочных процедур.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CC" w:rsidRPr="005E5F50" w:rsidRDefault="00D00BCC" w:rsidP="00D00BC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50">
        <w:rPr>
          <w:rFonts w:ascii="Times New Roman" w:hAnsi="Times New Roman" w:cs="Times New Roman"/>
          <w:b/>
          <w:sz w:val="24"/>
          <w:szCs w:val="24"/>
        </w:rPr>
        <w:t>Порядок формирования Единой комиссии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4.1.  Единая комиссия является коллективным органом, создаваемым Заказчиком на временной или постоянной основе.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4.2.  Решение о создании Единой комиссии, ее персональный состав, в том числе назначение председателя (далее –председатель), заместителя председателя (далее-  заместителя председателя) и порядок работы утверждаются Заказчиком до опубликования извещения о проведении открытого </w:t>
      </w:r>
      <w:proofErr w:type="spellStart"/>
      <w:proofErr w:type="gramStart"/>
      <w:r w:rsidRPr="005E5F50">
        <w:rPr>
          <w:rFonts w:ascii="Times New Roman" w:hAnsi="Times New Roman" w:cs="Times New Roman"/>
          <w:sz w:val="24"/>
          <w:szCs w:val="24"/>
        </w:rPr>
        <w:t>открытого</w:t>
      </w:r>
      <w:proofErr w:type="spellEnd"/>
      <w:proofErr w:type="gramEnd"/>
      <w:r w:rsidRPr="005E5F50">
        <w:rPr>
          <w:rFonts w:ascii="Times New Roman" w:hAnsi="Times New Roman" w:cs="Times New Roman"/>
          <w:sz w:val="24"/>
          <w:szCs w:val="24"/>
        </w:rPr>
        <w:t xml:space="preserve"> конкурса, конкурса с ограниченным участием, двухэтапного конкурса,  открытого аукциона в электронной форме, а также без проведения торгов способом запроса котировок, запроса предложений.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4.3.  В состав Единой комиссии входят не менее  пяти человек- членов- членов Единой комиссии. По решению Заказчика в составе Единой комиссии может быть также утверждена должность секретаря Единой комиссии. Если такая должность не предусматривается, то функции секретаря Единой комиссии в соответствие с настоящим Положением, выполняет любой член Единой комиссии, уполномоченный на выполнение таких функций Председателем (заместителем председателя).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4.4. Заказчик вправе включать в состав Единой комиссии преимущественно лиц, прошедших профессиональную переподготовку или повышение квалификации в сфере закупок товаров, работ, услуг.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 xml:space="preserve">Членами Единой комиссии не могут быть лица, которые лично заинтересованы в результатах закупки, в том числе физические лица, на которых способны оказывать влияние  участники закупки (в том числе физические лица, являющиеся участниками (акционерами) этих организаций, членами их органов управления, кредиторами </w:t>
      </w:r>
      <w:r w:rsidRPr="005E5F50">
        <w:rPr>
          <w:rFonts w:ascii="Times New Roman" w:hAnsi="Times New Roman" w:cs="Times New Roman"/>
          <w:sz w:val="24"/>
          <w:szCs w:val="24"/>
        </w:rPr>
        <w:lastRenderedPageBreak/>
        <w:t>участников закупки), а также непосредственно осуществляющие контроль в сфере закупок должностные лица уполномоченных на осуществление контроля в сфере закупок федерального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власти, органа исполнительной власти субъекта Российской Федерации, органа местного самоуправлени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>далее также- орган, уполномоченный на осуществление контроля в сфере закупок).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4.6.  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>В случае выявления в составе Единой комиссии указанных в пункте 4.5. лиц, Заказчик обязан незамедлительно заменить их иными физическими лицами, которые лично не заинтересованы в результатах закупки и на которых не способны оказывать влияние участники закупки, а также которые не являются непосредственно осуществляющими контроль в сфере закупок должностными лицами органов, уполномоченных  на осуществление контроля в сфере закупок.</w:t>
      </w:r>
      <w:proofErr w:type="gramEnd"/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4.7.  Замена члена Единой комиссии осуществляется только по решению Заказчика, принявшего решение о создании Единой комиссии.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CC" w:rsidRPr="005E5F50" w:rsidRDefault="00D00BCC" w:rsidP="00D00BC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b/>
          <w:sz w:val="24"/>
          <w:szCs w:val="24"/>
        </w:rPr>
        <w:t>5. Функции Единой комиссии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Основными функциями Единой комиссии является: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5.1. Вскрытие конвертов с заявками на участие в открытом конкурсе, конкурсе с ограниченным участием, двухэтапном конкурсе и открытие доступа к подданным в форме электронных документов;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5.2. Рассмотрение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 xml:space="preserve"> оценка  сопоставление заявок на участие в открытом конкурсе, конкурсе с ограниченным участием, двухэтапном конкурсе;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5.3. Определение победителя открытого конкурса, конкурса, с ограниченным участием, двухэтапного конкурса;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5.4. Ведение Протоколов, составляемых при проведении открытого конкурса, конкурса с ограниченным участием, двухэтапного конкурса;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5.5. Рассмотрение первых и вторых частей заявок на участие в открытом аукционе в электронной форме (электронном аукционе);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5.6. Отбор участников электронного аукциона;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5.7. Ведение Протоколов, составляемых при проведении электронного аукциона;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5.8. Рассмотрение и оценка котировочных заявок;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5.9. Рассмотрение и оценка заявок, поданных на участие в запросе предложений.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5.10. Ведение Протокола рассмотрения и оценки котировочных заявок, рассмотрения и оценки заявок, подданных на участие в запросе предложений.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50">
        <w:rPr>
          <w:rFonts w:ascii="Times New Roman" w:hAnsi="Times New Roman" w:cs="Times New Roman"/>
          <w:b/>
          <w:sz w:val="24"/>
          <w:szCs w:val="24"/>
        </w:rPr>
        <w:t>6.Права и обязанности Единой комиссии, ее отдельных членов</w:t>
      </w:r>
    </w:p>
    <w:p w:rsidR="00D00BCC" w:rsidRPr="005E5F50" w:rsidRDefault="00D00BCC" w:rsidP="00D00BC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6.1. Единая комиссия обязана: 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- проверять соответствие  участников закупки предъявляемым к ним требованиям, установленным законодательством Российской Федерации; 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- не допускать участника закупки к участию в торгах в случаях, установленных законодательством Российской Федерации о закупках; 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- исполнять предписания уполномоченных на осуществление контроля в сфере закупок органов 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 xml:space="preserve"> об устранении выявленных ими нарушений законодательства Российской Федерации и (или) иных нормативных правовых актов  Российской Федерации о закупках; 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не проводить переговоров с участниками закупки.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6.2. Единая комиссия в праве: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 - в случаях, предусмотренных законодательством Российской Федерации о закупках, отстранить участники закупки от участия в процедурах закупок на любом этапе проведения;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при необходимости привлекать к своей работе экспертов;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Обратиться к заказчику за разъяснениями по предмету закупки;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Обратиться к заказчику с просьбой о направлении запроса в соответствующие органы и организации для получения сведений о проведении ликвидации участника закупк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РФ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>прошедший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 xml:space="preserve"> календарный год, об обжаловании наличия таких задолженностей и о результатах рассмотрения жалоб.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6.3. Члены Единой комиссии обязаны: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знать и руководствовать в своей деятельности требованиями законодательства Российской Федерации и настоящего Положения;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соблюдать правила рассмотрения, оценки и сопоставления заявок;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lastRenderedPageBreak/>
        <w:t>- не допускать разглашения сведений, ставших им известными в ходе проведения процедур закупки, кроме случаев, прямо предусмотренных законодательством Российской Федерации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6.4. Члены Единой комиссии обязаны: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знать и руководствовать в своей деятельности требованиями законодательства Российской Федерации и настоящего Положения;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соблюдать правила рассмотрения, оценки и сопоставления заявок;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не допускать разглашения сведений, ставшим им известными в ходе проведения процедур закупки, кроме случаев, прямо предусмотренных законодательством Российской Федерации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соблюдать правила рассмотрения, оценки и сопоставления заявок;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не допускать разглашения сведений, ставших им известными в ходе проведения процедур закупки, кроме случаев, прямо предусмотренных законодательством  Российской Федерации.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6.4. Члены Единой комиссии вправе: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знакомиться со всеми представленными на рассмотрение документами и сведениями, составляющими заявку;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выступать по вопросам повестки дня на заседаниях Единой комиссии;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проверять правильность содержания Протоколов,  составляемых в ходе проведения закупочных процедур.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6.5. Член Единой комиссии имеет право: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знакомиться со всеми представленными на рассмотрение документами и сведениями, составляющими заявку на участие в закупке;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выступать по вопросам повестки дня на заседаниях Единой комиссии.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6.6 Члены Единой комиссии: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осуществлять рассмотрение, оценку и сопоставление заявок, подданных на участие в закупочных процедурах;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подписывают Протоколы, составляемые в ходе проведения закупочных процедур;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принимают участие, в определении победителя конкурса или запроса котировок, в том числе путем обсуждения и голосования;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lastRenderedPageBreak/>
        <w:t>- осуществляют иные действия в соответствии с законодательством Российской Федерации и настоящим Положением;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присутствуют на заседаниях Единой комиссии и принимают решения по вопросам, отнесенных к компетенции Единой комиссии в соответствии с настоящим Положением;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6.7.Председатель Единой комиссии (заместитель председателя, в отсутствии председателя):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Единой комиссии и обеспечивает выполнение настоящего положения;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утверждает график проведения заседаний Единой комиссии;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открывает и ведет заседание Единой комиссии, объявляет перерыв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объявляет состав Единой комиссии;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назначает члена Единой комиссии,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-определяет порядок рассмотрения обсуждаемых вопросов;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в случае необходимости  выносит на обсуждение Единой комиссии вопрос о привлечении  к работе комиссии экспертов;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осуществляет иные действия в соответствии с законодательством Российской Федерации и настоящим положением.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6.8. Заказчик, секретарь Единой комиссии, в случае если он утвержден решением заказчика о создании единой комиссии, или другой уполномоченный Председателем член Единой комиссии: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F50">
        <w:rPr>
          <w:rFonts w:ascii="Times New Roman" w:hAnsi="Times New Roman" w:cs="Times New Roman"/>
          <w:sz w:val="24"/>
          <w:szCs w:val="24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3 рабочих дня до их начала и обеспечивает членов Единой комиссии необходимыми материалами;</w:t>
      </w:r>
      <w:proofErr w:type="gramEnd"/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по ходу заседаний Единой комиссии составляет Протоколы;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осуществляет иные действия организационно- технического характера в соответствии с законодательством Российской федерации и настоящим Положением.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CC" w:rsidRPr="005E5F50" w:rsidRDefault="00D00BCC" w:rsidP="00D00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b/>
          <w:sz w:val="24"/>
          <w:szCs w:val="24"/>
        </w:rPr>
        <w:t>7.Регламент работы Единой комиссии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7.1. Работа Единой комиссии осуществляет на ее заседаниях. Заседание Единой комиссии считается правомочным, если на нем присутствует не менее чем 50(пятьдесят) процентов от общего числа его членов.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>Решение Единой комиссии принимают простые большинством голосов от числа присутствующих на заседании членов.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 xml:space="preserve"> При равенстве голосов голос председателя (заместителя председателя, в отсутствии председателя) является решающим. При голосовании каждый член Единой комиссии имеет один голос. Голосование осуществляется открыто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>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7.3.Единая комиссия проверяет наличие документов в составе заявки на участие в конкурсе, в аукционе в электронной форме в соответствии с требованиями, предъявляемыми к заявке на участие в конкурсе, в аукционе в электронной форме, конкурсной документацией, документацией об аукционе и законодательством Российской Федерации.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7.4.  Любые действия (бездействия) Единой комиссии могут быть обжалованы в порядке,  установленном законодательством Российской Федерации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 xml:space="preserve"> если такие действия (бездействия) нарушают права и законные интересы участника (</w:t>
      </w:r>
      <w:proofErr w:type="spellStart"/>
      <w:r w:rsidRPr="005E5F5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E5F50">
        <w:rPr>
          <w:rFonts w:ascii="Times New Roman" w:hAnsi="Times New Roman" w:cs="Times New Roman"/>
          <w:sz w:val="24"/>
          <w:szCs w:val="24"/>
        </w:rPr>
        <w:t>) закупки.  В случае такого обжалования Единая комиссия обязана: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представить по запросу уполномоченного органа сведения и документы, необходимые для рассмотрения жалобы;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- приостановить проведение отдельных процедур закупки до рассмотрения жалобы, при этом срок, установленный для заключения контракта, подлежит продлению на срок рассмотрения жалобы по существу.</w:t>
      </w:r>
    </w:p>
    <w:p w:rsidR="00D00BCC" w:rsidRPr="005E5F50" w:rsidRDefault="00D00BCC" w:rsidP="00D00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b/>
          <w:sz w:val="24"/>
          <w:szCs w:val="24"/>
        </w:rPr>
        <w:t>8. Порядок проведения заседаний Единой комиссии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8.1. Секретарь Единой комиссии, в случае если он утвержден решением Заказчика о создании Единой комиссии, или другой уполномоченный председателем (заместителем председателя, в отсутствии председателя) член Единой комиссии, не позднее, чем за 3 рабочих дня до дня проведения заседания Единой комиссии.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8.2. Единая комиссия может привлекать в своей работе экспертов. Для целей применения настоящего Положения  под экспертами понимаются лица,  обладающие специальными знаниями по предмету закупки, что должно подтверждать соответствующими документами об образовании и (или) опыте работы эксперта. Эксперты, как правило, не входят в состав Единой комиссии по решению Заказчика. Экспертами не могут быть лица, которые лично заинтересованы в результатах закупки (в том числе физические лица, подавшие заявки на участие в аукционе либо стоящие в штате организаций, подавших </w:t>
      </w:r>
      <w:r w:rsidRPr="005E5F50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заявки),  либо физические лица, на которых способны оказывать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участников 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 xml:space="preserve">закупки) 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>Эксперты представляют в Закупочную комиссию свои экспертные заключения по вопросам, поставленным перед ними  Единой комиссией. Мнение эксперта, изложенное в экспертном заключении, носит рекомендательный характер и не является обязательным для Единой комиссии. Экспертное заключение оформляется письменно.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8.3. Заседания Единой комиссии открываются и закрываются (заместителем председателя, в отсутствии председателя).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8.4. Секретарь Единой комиссии, в случае если он утвержден решением Заказчика о создании Единой комиссии, или другой уполномоченный председателем член Единой комиссии ведет протокол.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8.5.заказчик обязан организовать материально-техническое обеспечение деятельности Единой комиссии, в том числе предоставить удобное для целей  проведения заседания Единой комиссии помещение, средства аудиозаписи, оргтехнику, канцелярские принадлежности и т.п.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CC" w:rsidRPr="005E5F50" w:rsidRDefault="00D00BCC" w:rsidP="00D00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50">
        <w:rPr>
          <w:rFonts w:ascii="Times New Roman" w:hAnsi="Times New Roman" w:cs="Times New Roman"/>
          <w:b/>
          <w:sz w:val="24"/>
          <w:szCs w:val="24"/>
        </w:rPr>
        <w:t>9.Ответственность членов Единой комиссии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9.1. Члены Единой комиссии, виновные в нарушении законодательства Российской Федерации о закупках, иных нормативных правовых актов Российской Федерации 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9.2.Члены Единой комиссии, допустивший нарушение законодательства Российской Федерации и (или) иных нормативных правовых актов Российской Федерации о закупках может быть заменен по решению Заказчика (Уполномоченного органа), а также по предложению или предписанию уполномоченного контрольного органа.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9.3. Члены Единой комиссии, привлеченные Единой комиссией эксперты, сотрудники специализированной организации (если таковая привлечена Заказчиком), привлеченные Единой комиссией эксперты не </w:t>
      </w:r>
      <w:proofErr w:type="gramStart"/>
      <w:r w:rsidRPr="005E5F50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5E5F50">
        <w:rPr>
          <w:rFonts w:ascii="Times New Roman" w:hAnsi="Times New Roman" w:cs="Times New Roman"/>
          <w:sz w:val="24"/>
          <w:szCs w:val="24"/>
        </w:rPr>
        <w:t xml:space="preserve"> распространять сведения, составляющие государственную, служебную или коммерческую тайну, ставшие известными в ходе размещения заказов.</w:t>
      </w:r>
    </w:p>
    <w:p w:rsidR="00D00BCC" w:rsidRPr="005E5F50" w:rsidRDefault="00D00BCC" w:rsidP="00D00BCC">
      <w:pPr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D00BCC" w:rsidRPr="005E5F50" w:rsidSect="00C8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755"/>
    <w:multiLevelType w:val="multilevel"/>
    <w:tmpl w:val="AA8C310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">
    <w:nsid w:val="4DA153B4"/>
    <w:multiLevelType w:val="hybridMultilevel"/>
    <w:tmpl w:val="44B65378"/>
    <w:lvl w:ilvl="0" w:tplc="7244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AB9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F847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D003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75A0E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8633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CCC0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5670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B808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E806EB2"/>
    <w:multiLevelType w:val="hybridMultilevel"/>
    <w:tmpl w:val="311C7524"/>
    <w:lvl w:ilvl="0" w:tplc="79809C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C69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E4FA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F23E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58E8B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A0645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8298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8C60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6C0A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0BCC"/>
    <w:rsid w:val="000F7F2F"/>
    <w:rsid w:val="001C324D"/>
    <w:rsid w:val="00327507"/>
    <w:rsid w:val="005E5F50"/>
    <w:rsid w:val="00834DF8"/>
    <w:rsid w:val="00C87749"/>
    <w:rsid w:val="00CB6086"/>
    <w:rsid w:val="00D00BCC"/>
    <w:rsid w:val="00D940D2"/>
    <w:rsid w:val="00DD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B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2747</Words>
  <Characters>15660</Characters>
  <Application>Microsoft Office Word</Application>
  <DocSecurity>0</DocSecurity>
  <Lines>130</Lines>
  <Paragraphs>36</Paragraphs>
  <ScaleCrop>false</ScaleCrop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</cp:revision>
  <dcterms:created xsi:type="dcterms:W3CDTF">2016-11-12T08:14:00Z</dcterms:created>
  <dcterms:modified xsi:type="dcterms:W3CDTF">2022-02-25T06:28:00Z</dcterms:modified>
</cp:coreProperties>
</file>