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181"/>
        <w:gridCol w:w="5233"/>
      </w:tblGrid>
      <w:tr w:rsidR="001500BD" w:rsidRPr="001500BD" w:rsidTr="00772118">
        <w:trPr>
          <w:trHeight w:val="1855"/>
        </w:trPr>
        <w:tc>
          <w:tcPr>
            <w:tcW w:w="4181" w:type="dxa"/>
          </w:tcPr>
          <w:p w:rsidR="001500BD" w:rsidRPr="001500BD" w:rsidRDefault="001500BD" w:rsidP="001500BD">
            <w:pPr>
              <w:spacing w:line="263" w:lineRule="exact"/>
              <w:ind w:lef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/>
            <w:r w:rsidRPr="001500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СОГЛАСОВАНО</w:t>
            </w:r>
          </w:p>
          <w:p w:rsidR="001500BD" w:rsidRPr="001500BD" w:rsidRDefault="001500BD" w:rsidP="001500BD">
            <w:pPr>
              <w:spacing w:before="41" w:line="278" w:lineRule="auto"/>
              <w:ind w:left="50" w:right="10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Протокол заседания педагогического совета МБОУ СОШ№2 </w:t>
            </w:r>
            <w:proofErr w:type="spellStart"/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Start"/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.Я</w:t>
            </w:r>
            <w:proofErr w:type="gramEnd"/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дрин</w:t>
            </w:r>
            <w:proofErr w:type="spellEnd"/>
          </w:p>
          <w:p w:rsidR="001500BD" w:rsidRPr="001500BD" w:rsidRDefault="001500BD" w:rsidP="001500BD">
            <w:pPr>
              <w:spacing w:before="40" w:line="259" w:lineRule="exact"/>
              <w:ind w:lef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500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24.03.2020</w:t>
            </w:r>
            <w:r w:rsidRPr="001500BD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1500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4</w:t>
            </w:r>
          </w:p>
        </w:tc>
        <w:tc>
          <w:tcPr>
            <w:tcW w:w="5233" w:type="dxa"/>
          </w:tcPr>
          <w:p w:rsidR="001500BD" w:rsidRPr="001500BD" w:rsidRDefault="001500BD" w:rsidP="001500BD">
            <w:pPr>
              <w:spacing w:line="26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0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УТВЕРЖДАЮ</w:t>
            </w:r>
          </w:p>
          <w:p w:rsidR="001500BD" w:rsidRPr="001500BD" w:rsidRDefault="001500BD" w:rsidP="001500BD">
            <w:pPr>
              <w:spacing w:before="41"/>
              <w:ind w:left="2509" w:right="48" w:hanging="98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  <w:r w:rsidRPr="001500B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МБОУ СОШ№2 </w:t>
            </w:r>
            <w:proofErr w:type="spellStart"/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Start"/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.Я</w:t>
            </w:r>
            <w:proofErr w:type="gramEnd"/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дрин</w:t>
            </w:r>
            <w:proofErr w:type="spellEnd"/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1500BD" w:rsidRPr="001500BD" w:rsidRDefault="001500BD" w:rsidP="001500BD">
            <w:pPr>
              <w:spacing w:before="3"/>
              <w:ind w:left="50"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Приказ</w:t>
            </w:r>
            <w:r w:rsidRPr="001500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№_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 от 25.03.2020</w:t>
            </w:r>
            <w:r w:rsidRPr="001500BD">
              <w:rPr>
                <w:rFonts w:ascii="Times New Roman" w:eastAsia="Times New Roman" w:hAnsi="Times New Roman" w:cs="Times New Roman"/>
                <w:sz w:val="24"/>
                <w:lang w:val="ru-RU"/>
              </w:rPr>
              <w:t>_</w:t>
            </w:r>
            <w:r w:rsidRPr="001500BD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</w:p>
        </w:tc>
      </w:tr>
      <w:bookmarkEnd w:id="0"/>
    </w:tbl>
    <w:p w:rsidR="001500BD" w:rsidRDefault="001500BD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3F4F05">
        <w:rPr>
          <w:rFonts w:ascii="Times New Roman" w:hAnsi="Times New Roman" w:cs="Times New Roman"/>
          <w:sz w:val="24"/>
          <w:szCs w:val="24"/>
        </w:rPr>
        <w:t xml:space="preserve">МБОУ СОШ№2 </w:t>
      </w:r>
      <w:proofErr w:type="spellStart"/>
      <w:r w:rsidR="003F4F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4F0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F4F05">
        <w:rPr>
          <w:rFonts w:ascii="Times New Roman" w:hAnsi="Times New Roman" w:cs="Times New Roman"/>
          <w:sz w:val="24"/>
          <w:szCs w:val="24"/>
        </w:rPr>
        <w:t>дрин</w:t>
      </w:r>
      <w:proofErr w:type="spellEnd"/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F670B" w:rsidRPr="004336A8" w:rsidRDefault="00B8268B" w:rsidP="004336A8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</w:t>
      </w:r>
      <w:r w:rsidR="004336A8">
        <w:rPr>
          <w:rFonts w:ascii="Times New Roman" w:hAnsi="Times New Roman" w:cs="Times New Roman"/>
          <w:sz w:val="24"/>
          <w:szCs w:val="24"/>
        </w:rPr>
        <w:t>оля и промежуточной аттестации).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500BD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3F4F05"/>
    <w:rsid w:val="00421069"/>
    <w:rsid w:val="00430A2B"/>
    <w:rsid w:val="004336A8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500B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500B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B9DE-B413-4B7A-973A-0E21FEE1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15 кабинет</cp:lastModifiedBy>
  <cp:revision>6</cp:revision>
  <cp:lastPrinted>2018-09-06T07:35:00Z</cp:lastPrinted>
  <dcterms:created xsi:type="dcterms:W3CDTF">2018-12-07T12:29:00Z</dcterms:created>
  <dcterms:modified xsi:type="dcterms:W3CDTF">2022-02-24T08:47:00Z</dcterms:modified>
</cp:coreProperties>
</file>