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УКАЗ </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ГЛАВЫ ЧУВАШСКОЙ РЕСПУБЛИКИ</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О МЕРАХ ПО СОВЕРШЕНСТВОВАНИЮ СИСТЕМЫ</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ПРОТИВОДЕЙСТВИЯ КОРРУПЦИИ В ЧУВАШСКОЙ РЕСПУБЛИКЕ</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Список изменяющих документов</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(в ред. Указов Главы ЧР от 24.03.2016 N 30, от 13.10.2016 N 146,</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от 29.12.2017 N 143, от 03.07.2018 N 74, от 05.11.2018 N 134,</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от 21.12.2018 N 153, от 28.06.2019 N 87)</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Во исполнение Указа Президента Российской Федерации от 15 июля 2015 г. N 364 "О мерах по совершенствованию организации деятельности в области противодействия коррупции" в целях совершенствования системы противодействия коррупции в Чувашской Республике постановляю:</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 Образовать Комиссию по координации работы по противодействию коррупции в Чувашской Республике.</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 Утвердить Положение о Комиссии по координации работы по противодействию коррупции в Чувашской Республике (приложение N 1).</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3. Утвердить Порядок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и урегулирования конфликта интересов, а также некоторых обращений граждан (приложение N 2).</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7. Настоящий Указ вступает в силу через десять дней после дня его официального опубликования.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Глава</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Чувашской Республики</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М.ИГНАТЬЕВ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г. Чебоксары</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19 октября 2015 года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N 162</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lastRenderedPageBreak/>
        <w:t>Утверждено</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Указом Главы</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Чувашской Республики</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от 19.10.2015 N 162</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(приложение N 1)</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ПОЛОЖЕНИЕ</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О КОМИССИИ ПО КООРДИНАЦИИ РАБОТЫ ПО ПРОТИВОДЕЙСТВИЮ</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КОРРУПЦИИ В ЧУВАШСКОЙ РЕСПУБЛИКЕ</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I. Общие положения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 Комиссия по координации работы по противодействию коррупции в Чувашской Республике (далее - Комиссия) является постоянно действующим координационным органом при Главе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II. Основные задачи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5. Основными задачами Комиссии являются: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обеспечение исполнения решений Совета при Президенте Российской Федерации по противодействию коррупции и его президиума;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подготовка предложений о реализации государственной политики в области противодействия коррупции Главе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xml:space="preserve">в) обеспечение в соответствии с законодательством Российской Федерации и законодательством Чувашской Республики координации деятельности органов исполнительной власти Чувашской Республики и органов местного самоуправления в Чувашской Республике (далее - органы местного </w:t>
      </w:r>
      <w:r>
        <w:rPr>
          <w:rFonts w:ascii="Verdana" w:hAnsi="Verdana"/>
          <w:color w:val="000000"/>
          <w:sz w:val="17"/>
          <w:szCs w:val="17"/>
        </w:rPr>
        <w:lastRenderedPageBreak/>
        <w:t>самоуправления) по реализации государственной политики в области противодействия коррупции в Чувашской Республике;</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г) обеспечение согласованных действий органов исполнительной власти Чувашской Республики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Чувашской Республике;</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д) обеспечение взаимодействия органов исполнительной власти Чувашской Республики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Чувашской Республике;</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е) информирование общественности о проводимой органами исполнительной власти Чувашской Республики и органами местного самоуправления работе по противодействию коррупции.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III. Полномочия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xml:space="preserve">6. Комиссия в целях </w:t>
      </w:r>
      <w:proofErr w:type="gramStart"/>
      <w:r>
        <w:rPr>
          <w:rFonts w:ascii="Verdana" w:hAnsi="Verdana"/>
          <w:color w:val="000000"/>
          <w:sz w:val="17"/>
          <w:szCs w:val="17"/>
        </w:rPr>
        <w:t>выполнения</w:t>
      </w:r>
      <w:proofErr w:type="gramEnd"/>
      <w:r>
        <w:rPr>
          <w:rFonts w:ascii="Verdana" w:hAnsi="Verdana"/>
          <w:color w:val="000000"/>
          <w:sz w:val="17"/>
          <w:szCs w:val="17"/>
        </w:rPr>
        <w:t xml:space="preserve"> возложенных на нее задач осуществляет следующие полномочия: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подготавливает предложения по совершенствованию законодательства Российской Федерации о противодействии коррупции Главе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разрабатывает меры по противодействию коррупции, а также по устранению причин и условий, порождающих коррупцию;</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г) организует:</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подготовку проектов нормативных правовых актов Чувашской Республики по вопросам противодействия коррупции;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разработку государственной программы Чувашской Республики (подпрограммы государственной программы Чувашской Республики) в сфере противодействия коррупции и планов мероприятий по противодействию коррупции органов исполнительной власти Чувашской Республики, а также контроль за их реализацией, в том числе путем мониторинга эффективности реализации мер по противодействию коррупции, предусмотренных указанными программой (подпрограммой), планами мероприятий;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д) рассматривает:</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вопросы, касающиеся соблюдения лицами, замещающими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запретов, ограничений и требований, установленных в целях противодействия коррупции;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обращение гражданина, замещавшего указанную в абзаце втором настоящего подпункта государственную должность Чувашской Республики и являвшегося членом Кабинета Министров Чувашской Республики,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xml:space="preserve">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w:t>
      </w:r>
      <w:r>
        <w:rPr>
          <w:rFonts w:ascii="Verdana" w:hAnsi="Verdana"/>
          <w:color w:val="000000"/>
          <w:sz w:val="17"/>
          <w:szCs w:val="17"/>
        </w:rPr>
        <w:lastRenderedPageBreak/>
        <w:t>организацией входили в его должностные (служебные) обязанности, исполняемые во время замещения государственной должности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ж) оказывает содействие развитию общественного контроля за реализацией государственной программы Чувашской Республики (подпрограммы государственной программы Чувашской Республики) в сфере противодействия коррупции и планов мероприятий по противодействию коррупции органов исполнительной власти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Чувашской Республики на Портале органов власти Чувашской Республики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IV. Порядок формирования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7. Персональный состав Комиссии утверждается распоряжением Главы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8. Комиссия формируется в составе председателя Комиссии, его заместителей, секретаря и членов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9. Председателем Комиссии по должности является Глава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Секретарем Комиссии является начальник Управления Главы Чувашской Республики по вопросам общественной безопасности и противодействия коррупции.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10. В состав Комиссии по решению Главы Чувашской Республики включаются руководители органов исполнительной власти Чувашской Республики, руководители структурных подразделений Администрации Главы Чувашской Республики, а также по согласованию - главный федеральный инспектор по Чувашской Республике, представители Государственного Совета Чувашской Республики, руководители иных государственных органов Чувашской Республики, территориальных органов федеральных государственных органов, органов местного самоуправления, председатель Общественной палаты Чувашской Республики, представители научных и образовательных организаций, а также общественных организаций, уставными задачами которых является участие в противодействии коррупции.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11. Передача полномочий члена Комиссии другому лицу не допускается.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12. Участие в работе Комиссии осуществляется на общественных началах.</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13. На заседания Комиссии могут быть приглашены представители федеральных государственных органов, государственных органов Чувашской Республики, органов местного самоуправления, организаций и средств массовой информации.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V. Организация деятельности Комиссии и порядок ее работы</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lastRenderedPageBreak/>
        <w:t>15. Работа Комиссии осуществляется на плановой основе и в соответствии с регламентом, который утверждается Комиссией.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16. Заседания Комиссии ведет председатель Комиссии или по его поручению один из заместителей председателя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19. Решения Комиссии оформляются протоколом, который подписывается председательствующим на заседании.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20. Для реализации решений Комиссии могут издаваться указы и распоряжения Главы Чувашской Республики, а также даваться поручения Главы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Чувашской Республики,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22. Председатель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осуществляет общее руководство деятельностью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утверждает план работы Комиссии (ежегодный план);</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утверждает повестку дня очередного заседания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г) дает поручения в рамках своих полномочий членам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д) представляет Комиссию в отношениях с федеральными государственными органами, государственными органами Чувашской Республики, организациями и гражданами по вопросам, относящимся к компетенции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23.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Главы Чувашской Республики по вопросам общественной безопасности и противодействия коррупции.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24. Секретарь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оформляет протоколы заседаний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г) организует выполнение поручений председателя Комиссии, данных по результатам заседаний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lastRenderedPageBreak/>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Утвержден</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Указом Главы</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Чувашской Республики</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от 19.10.2015 N 162</w:t>
      </w:r>
    </w:p>
    <w:p w:rsidR="003D3061" w:rsidRDefault="003D3061" w:rsidP="003D3061">
      <w:pPr>
        <w:pStyle w:val="a3"/>
        <w:shd w:val="clear" w:color="auto" w:fill="F9F6F1"/>
        <w:ind w:firstLine="300"/>
        <w:jc w:val="right"/>
        <w:rPr>
          <w:rFonts w:ascii="Verdana" w:hAnsi="Verdana"/>
          <w:color w:val="000000"/>
          <w:sz w:val="17"/>
          <w:szCs w:val="17"/>
        </w:rPr>
      </w:pPr>
      <w:r>
        <w:rPr>
          <w:rFonts w:ascii="Verdana" w:hAnsi="Verdana"/>
          <w:color w:val="000000"/>
          <w:sz w:val="17"/>
          <w:szCs w:val="17"/>
        </w:rPr>
        <w:t>(приложение N 2)</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ПОРЯДОК</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РАССМОТРЕНИЯ КОМИССИЕЙ ПО КООРДИНАЦИИ РАБОТЫ</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ПО ПРОТИВОДЕЙСТВИЮ КОРРУПЦИИ В ЧУВАШСКОЙ РЕСПУБЛИКЕ</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ВОПРОСОВ, КАСАЮЩИХСЯ СОБЛЮДЕНИЯ ТРЕБОВАНИЙ К СЛУЖЕБНОМУ</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(ДОЛЖНОСТНОМУ) ПОВЕДЕНИЮ ЛИЦ, ЗАМЕЩАЮЩИХ ОТДЕЛЬНЫЕ</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ГОСУДАРСТВЕННЫЕ ДОЛЖНОСТИ ЧУВАШСКОЙ РЕСПУБЛИКИ,</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И УРЕГУЛИРОВАНИЯ КОНФЛИКТА ИНТЕРЕСОВ,</w:t>
      </w:r>
    </w:p>
    <w:p w:rsidR="003D3061" w:rsidRDefault="003D3061" w:rsidP="003D3061">
      <w:pPr>
        <w:pStyle w:val="a3"/>
        <w:shd w:val="clear" w:color="auto" w:fill="F9F6F1"/>
        <w:ind w:firstLine="300"/>
        <w:jc w:val="center"/>
        <w:rPr>
          <w:rFonts w:ascii="Verdana" w:hAnsi="Verdana"/>
          <w:color w:val="000000"/>
          <w:sz w:val="17"/>
          <w:szCs w:val="17"/>
        </w:rPr>
      </w:pPr>
      <w:r>
        <w:rPr>
          <w:rFonts w:ascii="Verdana" w:hAnsi="Verdana"/>
          <w:color w:val="000000"/>
          <w:sz w:val="17"/>
          <w:szCs w:val="17"/>
        </w:rPr>
        <w:t>А ТАКЖЕ НЕКОТОРЫХ ОБРАЩЕНИЙ ГРАЖДАН</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 Настоящим Порядком определяется порядок рассмотрения Комиссией по координации работы по противодействию коррупции в Чувашской Республике (далее - Комиссия):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вопросов, касающихся соблюдения требований к служебному (должностному) поведению лиц, замещающих государственные должности Чувашской Республики (за исключением лиц, замещающих должности Главы Чувашской Республики, депутата Государственного Совета Чувашской Республики, мирового судьи Чувашской Республики) (далее - лицо, замещающее государственную должность), и урегулирования конфликта интересов;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обращения гражданина, замещавшего указанную в подпункте "а" настоящего пункта государственную должность Чувашской Республики и являвшегося членом Кабинета Министров Чувашской Республики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xml:space="preserve">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w:t>
      </w:r>
      <w:r>
        <w:rPr>
          <w:rFonts w:ascii="Verdana" w:hAnsi="Verdana"/>
          <w:color w:val="000000"/>
          <w:sz w:val="17"/>
          <w:szCs w:val="17"/>
        </w:rPr>
        <w:lastRenderedPageBreak/>
        <w:t>организацией входили в его должностные (служебные) обязанности, исполняемые во время замещения государственной должности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 Основаниями для проведения заседания Комиссии являются: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решение председателя Комиссии, принятое на основании: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представленных должностным лицом или органом, назначившим лицо, замещающее государственную должность, в соответствии с пунктом 17.1 Положения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 утвержденного Указом Президента Чувашской Республики от 5 ноября 2009 г. N 77, материалов проверки, свидетельствующих:</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о представлении лицом, замещающим государственную должность, недостоверных или неполных сведений, предусмотренных подпунктом "а" пункта 1 названного Положения;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о несоблюдении лицом, замещающим государственную должность, требований к служебному (должностному) поведению и (или) требований об урегулировании конфликта интересов;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иных материалов о нарушении лицом, замещающим государственную должность, требований к служебному (должностному) поведению, поступивших в Комиссию;</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поступившее в Администрацию Главы Чувашской Республики (далее - Администрация):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заявление лица, замещающего государственную должность,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замещаемой государственной должности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соответствии с частью 4 статьи 12 Федерального закона "О противодействии коррупции"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Чувашской Республики,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lastRenderedPageBreak/>
        <w:t>в) представление должностного лица, органа, назначившего лицо, замещающее государственную должность, или любого члена Комиссии, касающееся обеспечения соблюдения лицом, замещающим государственную должность, требований к служебному (должностному) поведению и (или) требований об урегулировании конфликта интересов либо осуществления в государственных органах Чувашской Республики мер по предупреждению коррупции;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г) представление должностным лицом или органом, назначившим лицо, замещающее государственную должность, материалов проверки, свидетельствующих о представлении лицом, замещающим государственную должность, недостоверных или неполных сведений,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(трудовой) дисциплины.</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4. Заявление, указанное в абзаце втором подпункта "б" пункта 2 настоящего Порядка, подается лицом, замещающим государственную должность, в Администрацию в порядке и сроки, которые установлены для подачи данными лицами сведений о доходах, об имуществе и обязательствах имущественного характера.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обращении, предусмотренном абзацем пятым подпункта "б" пункта 2 настоящего Порядка,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замещаемой государственной должности Чувашской Республики, наименование, местонахождение организации, характер ее деятельности, должностные (служебные) обязанности, исполняемые гражданином во время замещения им государственной должности Чувашской Республики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Обращение, указанное в абзаце пятом подпункта "б" пункта 2 настоящего Порядка, может быть подано лицом, замещающим государственную должность, планирующим свое увольнение с замещаемой государственной должности Чувашской Республики, и подлежит рассмотрению Комиссией в соответствии с настоящим Порядком.</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Управлении Главы Чувашской Республики по вопросам общественной безопасности и противодействия коррупции (далее - Управление) осуществляется предварительное рассмотрение заявлений, уведомлений и обращения, указанных в подпункте "б" пункта 2 настоящего Порядка, и по результатам их рассмотрения на каждое из них подготавливается мотивированное заключение.</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4.1. При подготовке предусмотренного пунктом 4 настоящего Порядка мотивированного заключения начальник Управления или уполномоченные им должностные лица Управления имеют право получать в установленном порядке от лиц, представивших в соответствии с абзацами вторым - пятым подпункта "б" пункта 2 настоящего Порядка заявления, уведомление или обращение, и от лиц, в отношении которых в соответствии с абзацем шестым подпункта "б" пункта 2 настоящего Порядка представлены уведомления, необходимые пояснения, а заместитель Председателя Кабинета Министров Чувашской Республики, на которого распоряжением Кабинета Министров Чувашской Республики возложена обязанность по координации работы органов исполнительной власти Чувашской Республики по вопросам реализации антикоррупционной политики, или начальник Управления имеют право направлять в установленном порядке запросы в федеральные государственные органы, государственные органы Чувашской Республики, органы местного самоуправления и заинтересованные организации.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Заявление, уведомление или обращение, а также заключение и другие материалы в течение 30 дней со дня поступления заявления, уведомления или обращения представляются председателю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случае направления запросов заявление, уведомление или обращение, а также заключение и другие материалы представляются председателю Комиссии в течение 60 дней со дня поступления заявления, уведомления или обращения. Указанный срок может быть продлен, но не более чем на 30 дней.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4.2. Мотивированное заключение, предусмотренное абзацем четвертым пункта 4 настоящего Порядка, должно содержать:</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информацию, изложенную в заявлениях, уведомлениях и обращениях, указанных в подпункте "б" пункта 2 настоящего Порядка;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lastRenderedPageBreak/>
        <w:t>б) информацию, полученную от федеральных государственных органов, государственных органов Чувашской Республики, органов местного самоуправления и заинтересованных организаций на основании запросов;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мотивированный вывод по результатам предварительного рассмотрения заявлений, уведомлений и обращений, указанных в подпункте "б" пункта 2 настоящего Порядка, а также рекомендации для принятия одного из решений в соответствии с пунктами 19 - 20.3 настоящего Порядка или иного решения.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5. В случае если в заявлении, указанном в абзаце втором подпункта "б"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предусмотренное подпунктом "а" пункта 19 настоящего Порядка.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случае если в заявлении, указанном в абзаце третьем подпункта "б"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подпунктом "а" пункта 20 настоящего Порядка.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случае если в уведомлении, указанном в абзаце четвертом подпункта "б"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подпунктом "а" пункта 20.1 настоящего Порядка.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уведомление или обращение, должно быть проинформировано в письменной форме о принятом решении в течение 15 дней со дня его принятия.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6. Председатель Комиссии при поступлении к нему информации, содержащей основания для проведения заседания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в десятидневный срок назначает дату заседания Комиссии и место его проведения.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7 настоящего Порядка;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организует ознакомление лица,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и с результатами ее проверки;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рассматривает ходатайства о приглашении на заседание Комиссии лиц, указанных в подпункте "б" пункта 15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Комиссией дополнительных материалов.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7. Заседание Комиссии по рассмотрению заявлений, указанных в абзацах втором и третьем подпункта "б" пункта 2 настоящего Порядка,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8. Секретарь Комиссии обеспечивает подготовку вопросов, выносимых на заседание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9.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государственные должности Чувашской Республики, должности гражданской службы, недопустимо.</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lastRenderedPageBreak/>
        <w:t>10. Все члены Комиссии при принятии решений обладают равными правами.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11.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пунктами 17 - 22 настоящего Порядка.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13. Заседание Комиссии проводится, как правило, в присутствии лица, представившего в соответствии с подпунктом "б" пункта 2 настоящего Порядка заявление, уведомление или обращение. О намерении лично присутствовать на заседании Комиссии лицо, представившее заявление, уведомление или обращение, указывает в заявлении, уведомлении или обращении, представляемых в соответствии с подпунктом "б" пункта 2 настоящего Порядка.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13.1. Заседания Комиссии могут проводиться в отсутствие лица, представившего в соответствии с подпунктом "б" пункта 2 настоящего Порядка заявление, уведомление или обращение, в случае:</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если в заявлении, уведомлении или обращении не содержится указания о намерении лица, представившего заявление, уведомление или обращение, лично присутствовать на заседании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если лицо, представившее заявление, уведомление или обращение,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14. На заседании Комиссии заслушиваются пояснения лица,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(с его согласия) и иных лиц, рассматриваются материалы по существу вынесенных на данное заседание вопросов, а также дополнительные материалы.</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15. В заседании Комиссии с правом совещательного голоса участвуют:</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определяемые председателем Комиссии два иных лица, замещающих государственные должности;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специалисты, которые могут дать пояснения по вопросам, рассматриваемым Комиссией; должностные лица других государственных органов Чувашской Республики, органов местного самоуправления; представители заинтересованных организаций; представитель лица, замещающего государственную должность,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государственную должность, в отношении которого Комиссией рассматривается этот вопрос, или любого члена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16. Члены Комиссии и лица, участвовавшие в ее заседании, не вправе разглашать сведения, ставшие им известными в ходе работы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17. По итогам рассмотрения вопроса, указанного в абзаце третьем подпункта "а" пункта 2 настоящего Порядка, Комиссия принимает одно из следующих решений: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установить, что сведения, представленные лицом, замещающим государственную должность, в соответствии с подпунктом "а" пункта 1 Положения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 утвержденного Указом Президента Чувашской Республики от 5 ноября 2009 г. N 77, являются достоверными и полными;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установить, что сведения, представленные лицом, замещающим государственную должность, в соответствии с подпунктом "а" пункта 1 Положения, названного в подпункте "а" настоящего пункта, являются недостоверными и (или) неполными.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применить к лицу, замещающему государственную должность, конкретную меру ответственности.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lastRenderedPageBreak/>
        <w:t>18. По итогам рассмотрения вопросов, указанных в абзацах четвертом и пятом подпункта "а" пункта 2 настоящего Порядка, Комиссия принимает одно из следующих решений: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установить, что лицо, замещающее государственную должность, соблюдало требования к служебному (должностному) поведению и (или) требования об урегулировании конфликта интересов;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установить, что лицо, замещающее государственную должность, не соблюдало требования к служебному (должностному) поведению и (или) требования об урегулировании конфликта интересов.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указать лицу, замещающему государственную должность, на недопустимость нарушения требований к служебному (должностному) поведению и (или) требований об урегулировании конфликта интересов либо применить к лицу, замещающему государственную должность, конкретную меру ответственности.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19. По итогам рассмотрения вопроса, указанного в абзаце втором подпункта "б" пункта 2 настоящего Порядка, Комиссия принимает одно из следующих решений: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применить к лицу, замещающему государственную должность, конкретную меру ответственности.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20. По итогам рассмотрения вопроса, указанного в абзаце третьем подпункта "б" пункта 2 настоящего Порядка, Комиссия принимает одно из следующих решений: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применить к лицу, замещающему государственную должность, конкретную меру ответственности.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20.1. По итогам рассмотрения вопроса, указанного в абзаце четвертом подпункта "б" пункта 2 настоящего Порядка, Комиссия принимает одно из следующих решений: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признать, что при исполнении должностных обязанностей лицом, представившим уведомление, конфликт интересов отсутствует;</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секретарь Комиссии уведомляет должностное лицо или государственный орган Чувашской Республики, назначившее лицо, замещающее государственную должность;</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lastRenderedPageBreak/>
        <w:t>в) признать, что лицом, представившим уведомление, не соблюдались требования об урегулировании конфликта интересов. В этом случае Комиссия рекомендует должностному лицу или государственному органу Чувашской Республики, назначившему лицо, замещающее государственную должность, применить к лицу, замещающему государственную должность, конкретную меру ответственности.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20.2. По итогам рассмотрения вопроса, указанного в абзаце пятом подпункта "б" пункта 2 настоящего Порядка, Комиссия принимает одно из следующих решений: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отказать гражданину в замещении должности в коммерческой или некоммерческой организации и (или) в выполнении в такой организации работы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20.3. По итогам рассмотрения вопроса, указанного в абзаце шестом подпункта "б" пункта 2 настоящего Порядка, Комиссия принимает одно из следующих решений: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статьи 12 Федерального закона "О противодействии коррупции". В этом случае Комиссия рекомендует руководителю государственного органа Чувашской Республики проинформировать об указанных обстоятельствах органы прокуратуры и уведомившую организацию.</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21. По итогам рассмотрения вопроса, указанного в подпункте "г" пункта 2 настоящего Порядка, Комиссия принимает одно из следующих решений: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признать, что сведения, представленные лицом, замещающим государственную должность,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признать, что сведения, представленные лицом, замещающим государственную должность,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должностному лицу или государственному органу Чувашской Республики, назначившим лицо, замещающее государственную должность, применить к лицу, замещающему государственную должность,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22. По итогам рассмотрения вопросов, указанных в подпунктах "а", "б" и "г" пункта 2 настоящего Порядка, и при наличии к тому оснований Комиссия может принять иное решение, чем это предусмотрено пунктами 17 - 21 настоящего Порядка. Основания и мотивы принятия такого решения должны быть отражены в протоколе заседания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23. По итогам рассмотрения вопроса, предусмотренного подпунктом "в" пункта 2 настоящего Порядка, Комиссия принимает соответствующее решение.</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24. Для исполнения решений Комиссией могут быть подготовлены проекты нормативных правовых актов Чувашской Республики, решений или поручений Главы Чувашской Республики, которые в установленном порядке представляются на рассмотрение Главы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25. Решения Комиссии по вопросам, указанным в пункте 2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lastRenderedPageBreak/>
        <w:t>26. Решение Комиссии оформляется протоколом, который подписывается председательствующим на заседании Комиссии. Решения Комиссии, за исключением решения, принимаемого по итогам рассмотрения вопроса, указанного в абзаце пятом подпункта "б" пункта 2 настоящего Порядка, для должностного лица или государственного органа Чувашской Республики, назначивших лицо, замещающее государственную должность, носят рекомендательный характер. Решение, принимаемое по итогам рассмотрения вопроса, указанного в абзаце пятом подпункта "б" пункта 2 настоящего Порядка, носит обязательный характер.</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26.1. В случае если в заявлениях, уведомлении и обращении, предусмотренных абзацами вторым - пятым подпункта "б" пункта 2 настоящего Порядка,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абзацем шестым подпункта "б" пункта 2 настоящего Порядка, голосование по вопросам, связанным с рассмотрением таких заявлений, уведомлений, обращений, по решению председателя Комиссии может проводиться заочно путем направления членам Комиссии опросных листов, а также иных материалов.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27. В протоколе заседания Комиссии указываются: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а) дата заседания Комиссии, фамилии, имена, отчества членов Комиссии и других лиц, присутствующих на заседании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б) информация о том, что заседание Комиссии осуществлялось в соответствии с настоящим Порядком;</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г) предъявляемые к лицу,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претензии, материалы, на которых они основываются;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д) содержание пояснений лица,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и других лиц по существу предъявляемых претензий;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 xml:space="preserve">е) фамилии, имена, </w:t>
      </w:r>
      <w:proofErr w:type="gramStart"/>
      <w:r>
        <w:rPr>
          <w:rFonts w:ascii="Verdana" w:hAnsi="Verdana"/>
          <w:color w:val="000000"/>
          <w:sz w:val="17"/>
          <w:szCs w:val="17"/>
        </w:rPr>
        <w:t>отчества</w:t>
      </w:r>
      <w:proofErr w:type="gramEnd"/>
      <w:r>
        <w:rPr>
          <w:rFonts w:ascii="Verdana" w:hAnsi="Verdana"/>
          <w:color w:val="000000"/>
          <w:sz w:val="17"/>
          <w:szCs w:val="17"/>
        </w:rPr>
        <w:t xml:space="preserve"> выступивших на заседании Комиссии лиц и краткое изложение их выступлений;</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ж) источник информации, содержащей основания для проведения заседания Комиссии, дата поступления информации в государственный орган Чувашской Республики;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з) другие сведения;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и) результаты голосования;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к) решение и обоснование его принятия.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29. Копии протокола заседания Комиссии в течение пяти рабочих дней после подписания протокола заседания Комиссии направляются должностному лицу или государственному органу Чувашской Республики, назначившим лицо, замещающее государственную должность, полностью или в виде выписок из него - лицу, в отношении которого рассматривался вопрос о соблюдении требований к служебному (должностному) поведению и (или) требований об урегулировании конфликта интересов, а также по решению Комиссии - иным заинтересованным лицам.</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пятом подпункта "б" пункта 2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подписания протокола заседания Комиссии.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lastRenderedPageBreak/>
        <w:t>30. Должностное лицо или государственный орган Чувашской Республики, назначившие лицо, замещающее государственную должность, рассматривают протокол заседания Комиссии и вправе учесть в пределах своей компетенции содержащиеся в нем рекомендации при принятии решения о применении к лицу, в отношении которого рассматривался вопрос о соблюдении требований к служебному (должностному) поведению и (или) требований об урегулировании конфликта интересов,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должностное лицо или государственный орган Чувашской Республики, назначившие лицо, замещающее государственную должность, в письменной форме уведомляют Комиссию в месячный срок со дня поступления к ним протокола заседания Комиссии. Решение должностного лица или государственного органа Чувашской Республики, назначивших лицо, замещающее государственную должность, оглашается на ближайшем заседании Комиссии и принимается к сведению без обсуждения.</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31. В случае установления Комиссией признаков дисциплинарного проступка в действиях (бездействии) лица,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информация об этом представляется должностному лицу или государственному органу Чувашской Республики, назначившим лицо, замещающее государственную должность, для решения вопроса о применении к указанному лицу мер ответственности, предусмотренных нормативными правовыми актами Российской Федерации.</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В случае установления Комиссией факта совершения указанным лицом действия (факта бездействия), содержащего признаки административного правонарушения или состава преступления, секретарь Комиссии по поручению председателя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3D3061" w:rsidRDefault="003D3061" w:rsidP="003D3061">
      <w:pPr>
        <w:pStyle w:val="a3"/>
        <w:shd w:val="clear" w:color="auto" w:fill="F9F6F1"/>
        <w:ind w:firstLine="300"/>
        <w:jc w:val="both"/>
        <w:rPr>
          <w:rFonts w:ascii="Verdana" w:hAnsi="Verdana"/>
          <w:color w:val="000000"/>
          <w:sz w:val="17"/>
          <w:szCs w:val="17"/>
        </w:rPr>
      </w:pPr>
      <w:r>
        <w:rPr>
          <w:rFonts w:ascii="Verdana" w:hAnsi="Verdana"/>
          <w:color w:val="000000"/>
          <w:sz w:val="17"/>
          <w:szCs w:val="17"/>
        </w:rPr>
        <w:t>32. Копия протокола заседания Комиссии или выписка из него приобщается к личному делу лица, в отношении которого рассмотрен вопрос о соблюдении требований к служебному (должностному) поведению и (или) требований об урегулировании конфликта интересов.</w:t>
      </w:r>
    </w:p>
    <w:p w:rsidR="00B61A5A" w:rsidRDefault="00B61A5A">
      <w:bookmarkStart w:id="0" w:name="_GoBack"/>
      <w:bookmarkEnd w:id="0"/>
    </w:p>
    <w:sectPr w:rsidR="00B61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61"/>
    <w:rsid w:val="003D3061"/>
    <w:rsid w:val="00B6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A1EB-0147-4F1F-8565-54B72F09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0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6945</Words>
  <Characters>39589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МПТТ Алёна Олеговна</dc:creator>
  <cp:keywords/>
  <dc:description/>
  <cp:lastModifiedBy>МПТТ Алёна Олеговна</cp:lastModifiedBy>
  <cp:revision>1</cp:revision>
  <dcterms:created xsi:type="dcterms:W3CDTF">2022-02-10T06:27:00Z</dcterms:created>
  <dcterms:modified xsi:type="dcterms:W3CDTF">2022-02-10T06:27:00Z</dcterms:modified>
</cp:coreProperties>
</file>