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90"/>
      </w:tblGrid>
      <w:tr w:rsidR="00072D41" w:rsidRPr="00072D41" w:rsidTr="00072D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2D41" w:rsidRPr="00072D41" w:rsidRDefault="00072D41" w:rsidP="0007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72D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Материально-техническое обеспечение и оснащенность образовательного процесса</w:t>
            </w:r>
          </w:p>
        </w:tc>
      </w:tr>
      <w:tr w:rsidR="00072D41" w:rsidRPr="00072D41" w:rsidTr="00072D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70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705"/>
            </w:tblGrid>
            <w:tr w:rsidR="00072D41" w:rsidRPr="00072D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0627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27"/>
                  </w:tblGrid>
                  <w:tr w:rsidR="00072D41" w:rsidRPr="00072D4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72D41" w:rsidRPr="00072D41" w:rsidRDefault="00072D41" w:rsidP="00072D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12529"/>
                            <w:sz w:val="24"/>
                            <w:szCs w:val="24"/>
                            <w:lang w:eastAsia="ru-RU"/>
                          </w:rPr>
                        </w:pPr>
                        <w:r w:rsidRPr="00072D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12529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СВЕДЕНИЯ О МАТЕРИАЛЬНО-ТЕХНИЧЕСКОЙ БАЗЕ УЧРЕЖДЕНИЯ</w:t>
                        </w:r>
                      </w:p>
                      <w:p w:rsidR="00072D41" w:rsidRPr="00072D41" w:rsidRDefault="00072D41" w:rsidP="00072D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12529"/>
                            <w:sz w:val="24"/>
                            <w:szCs w:val="24"/>
                            <w:lang w:eastAsia="ru-RU"/>
                          </w:rPr>
                        </w:pPr>
                        <w:r w:rsidRPr="00072D41">
                          <w:rPr>
                            <w:rFonts w:ascii="Times New Roman" w:eastAsia="Times New Roman" w:hAnsi="Times New Roman" w:cs="Times New Roman"/>
                            <w:color w:val="212529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72"/>
                          <w:gridCol w:w="3205"/>
                        </w:tblGrid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Общая площадь всех помещений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726087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1395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Кабинет начальных классов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B5302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Кабинет математики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Кабинет и химии, биологии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Кабинет информатики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Кабинет русского языка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Кабинет английского языка                              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Кабинет истории, обществознания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 xml:space="preserve">Кабинет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физики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Кабинет чувашского языка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Мастерская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Актовый зал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Спортзал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Библиотека с читальным залом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Число книг в библиотеке, включая школьные учебники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726087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17465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Столовая с горячим питанием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Посадочных ме</w:t>
                              </w:r>
                              <w:proofErr w:type="gramStart"/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ст в ст</w:t>
                              </w:r>
                              <w:proofErr w:type="gramEnd"/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оловой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4</w:t>
                              </w: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Персональные ЭВМ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2</w:t>
                              </w:r>
                              <w:r w:rsidR="00726087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Компьютеры, подключенные к сети Интернет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</w:t>
                              </w:r>
                              <w:r w:rsidR="00726087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Принтеры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Проекторы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Обеспеченность учащихся учебной литературой</w:t>
                              </w:r>
                              <w:proofErr w:type="gramStart"/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 xml:space="preserve"> (%)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Количество компьютеров, применяемых в учебном процессе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726087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Количество учащихся на 1 компьютер, применяемый в учебном процессе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726087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2,5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 xml:space="preserve">Наличие </w:t>
                              </w:r>
                              <w:proofErr w:type="spellStart"/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медиатеки</w:t>
                              </w:r>
                              <w:proofErr w:type="spellEnd"/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 xml:space="preserve"> (</w:t>
                              </w:r>
                              <w:proofErr w:type="gramStart"/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есть</w:t>
                              </w:r>
                              <w:proofErr w:type="gramEnd"/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/нет)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Есть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Возможность пользования сетью Интернет учащимися (да/ нет)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да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Доля учителей, применяющих ИКТ в учебном процессе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lastRenderedPageBreak/>
                                <w:t>Возможность пользования сетью Интернет педагогическими работниками (да/нет)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да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Наличие сайта (да/ нет)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да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Создание условий для обеспечения учащихся питанием (да/нет)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да</w:t>
                              </w:r>
                            </w:p>
                          </w:tc>
                        </w:tr>
                        <w:tr w:rsidR="00072D41" w:rsidRPr="00072D41" w:rsidTr="00072D41">
                          <w:tc>
                            <w:tcPr>
                              <w:tcW w:w="3485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Обеспеченность учащихся медицинским обслуживанием (да/ нет)</w:t>
                              </w:r>
                            </w:p>
                          </w:tc>
                          <w:tc>
                            <w:tcPr>
                              <w:tcW w:w="151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72D41" w:rsidRPr="00072D41" w:rsidRDefault="00072D41" w:rsidP="00072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2D41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72D41" w:rsidRPr="00072D41" w:rsidRDefault="00072D41" w:rsidP="00072D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12529"/>
                            <w:sz w:val="24"/>
                            <w:szCs w:val="24"/>
                            <w:lang w:eastAsia="ru-RU"/>
                          </w:rPr>
                        </w:pPr>
                        <w:r w:rsidRPr="00072D41">
                          <w:rPr>
                            <w:rFonts w:ascii="Times New Roman" w:eastAsia="Times New Roman" w:hAnsi="Times New Roman" w:cs="Times New Roman"/>
                            <w:color w:val="212529"/>
                            <w:sz w:val="27"/>
                            <w:szCs w:val="27"/>
                            <w:bdr w:val="none" w:sz="0" w:space="0" w:color="auto" w:frame="1"/>
                            <w:lang w:val="en-US" w:eastAsia="ru-RU"/>
                          </w:rPr>
                          <w:t> </w:t>
                        </w:r>
                      </w:p>
                      <w:p w:rsidR="00072D41" w:rsidRPr="00072D41" w:rsidRDefault="00072D41" w:rsidP="00072D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12529"/>
                            <w:sz w:val="24"/>
                            <w:szCs w:val="24"/>
                            <w:lang w:eastAsia="ru-RU"/>
                          </w:rPr>
                        </w:pPr>
                        <w:r w:rsidRPr="00072D41">
                          <w:rPr>
                            <w:rFonts w:ascii="Times New Roman" w:eastAsia="Times New Roman" w:hAnsi="Times New Roman" w:cs="Times New Roman"/>
                            <w:color w:val="212529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72D41" w:rsidRPr="00072D41" w:rsidRDefault="00072D41" w:rsidP="00072D41">
                  <w:pPr>
                    <w:spacing w:after="0" w:line="337" w:lineRule="atLeast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72D41" w:rsidRPr="00072D41" w:rsidRDefault="00072D41" w:rsidP="00072D41">
            <w:pPr>
              <w:spacing w:after="0" w:line="337" w:lineRule="atLeast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</w:tr>
    </w:tbl>
    <w:p w:rsidR="00072D41" w:rsidRDefault="00072D41"/>
    <w:p w:rsidR="00072D41" w:rsidRDefault="00072D41"/>
    <w:p w:rsidR="00072D41" w:rsidRDefault="00072D41"/>
    <w:p w:rsidR="00072D41" w:rsidRDefault="00072D41"/>
    <w:p w:rsidR="00072D41" w:rsidRDefault="00072D41"/>
    <w:p w:rsidR="00072D41" w:rsidRDefault="00072D41"/>
    <w:tbl>
      <w:tblPr>
        <w:tblW w:w="12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90"/>
      </w:tblGrid>
      <w:tr w:rsidR="00BC4A13" w:rsidRPr="00BC4A13" w:rsidTr="00BC4A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Материально-техническое обеспечение образовательной деятельности </w:t>
            </w:r>
            <w:r w:rsidRPr="00BC4A13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lang w:eastAsia="ru-RU"/>
              </w:rPr>
              <w:t> </w:t>
            </w:r>
            <w:r w:rsidRPr="00BC4A13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Староахпердинская ООШ</w:t>
            </w:r>
            <w:r w:rsidRPr="00BC4A13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» для лиц с ограниченными возможностями здоровья и инвалидов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1.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– нет. Лица с ОВЗ и инвалиды участвуют в образовательном процессе на общих условиях.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2. Обеспечение доступа в здания образовательной организации инвалидов и лиц с ограниченными возможностями здоровья — ОУ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lang w:eastAsia="ru-RU"/>
              </w:rPr>
              <w:t>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функционирует с 1978 года. Конструктивные особенности зданий не предусматривают наличие подъемников, других приспособлений, обеспечивающих доступ инвалидов и лиц с ограниченными возможностями здоровья (ОВЗ). Тактильные плитки, напольные метки, устройства для закрепления инвалидных колясок, поручни внутри помещений, приспособления для туалета/душа, 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кровати и матрасы специализированного назначения в образовательной организации отсутствуют. Доступ к кабинетам администрации, методическому и другим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lang w:eastAsia="ru-RU"/>
              </w:rPr>
              <w:t>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кабинетам, туалету будет обеспечено посредством предоставления сопровождающего лица.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3. Условия питания обучающихся, в том числе инвалидов и лиц с ограниченными возможностями здоровья – создание отдельного меню не осуществляется. ОУ осуществляет питание детей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lang w:eastAsia="ru-RU"/>
              </w:rPr>
              <w:t>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в соответствии с действующими Санитарно-эпидемиологическими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lang w:eastAsia="ru-RU"/>
              </w:rPr>
              <w:t>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правилами и нормативами СанПиН 2.4.1.3049-13. В учреждении организовано сбалансированное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одноразовое 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 питание в соответс</w:t>
            </w:r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твии с утвержденным примерным 12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-дневным меню.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4. Условия охраны здоровья обучающихся, в том числе инвалидов и лиц с ограниченными возможностями здоровья –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lang w:eastAsia="ru-RU"/>
              </w:rPr>
              <w:t>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медицинское обслуживание детей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lang w:eastAsia="ru-RU"/>
              </w:rPr>
              <w:t>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осуществляется Батыревской районной больницей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lang w:eastAsia="ru-RU"/>
              </w:rPr>
              <w:t>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в соответствии с договором на оказание медицинских услуг.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lang w:eastAsia="ru-RU"/>
              </w:rPr>
              <w:t>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Обеспечивается оказание несовершеннолетним первичной медико-санитарной помощи: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- организуются профилактические осмотры;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- организация и проведение иммунопрофилактики;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- постановка и учет туберкулиновых проб;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- проведение санитарно-просветительской работы;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- контроль питания;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- организация и проведение противоэпидемических и профилактических мероприятий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Санитарно-гигиеническое состояние ОУ соответствует требованиям </w:t>
            </w:r>
            <w:proofErr w:type="spellStart"/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 2.4.1.3049-13: световой, </w:t>
            </w:r>
            <w:proofErr w:type="gramStart"/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воздушный</w:t>
            </w:r>
            <w:proofErr w:type="gramEnd"/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 и питьевой режимы поддерживаются в норме. С целью снижения заболеваемости проводятся 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профилактические и закаливающие мероприятия (утренняя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lang w:eastAsia="ru-RU"/>
              </w:rPr>
              <w:t>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гимнастика, организация физкультминуток на уроках, соблюдение температурного режима в течение дня).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5.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– обучающиеся имеют доступ к информационным системам и информационно-телекоммуникационным сетям, специально оборудованного компьютерного класса для детей с ОВЗ в ОУ не имеется.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6. Электронные образовательные ресурсы, к которым обеспечивается доступ </w:t>
            </w:r>
            <w:proofErr w:type="gramStart"/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, в том числе приспособленные для использования инвалидами и лицами с ограниченными возможностями здоровья – доступ обучающихся к электронным образовательным ресурсам предусматривается. Официальный сайт учреждения имеет версию сайта для </w:t>
            </w:r>
            <w:proofErr w:type="gramStart"/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слабовидящих</w:t>
            </w:r>
            <w:proofErr w:type="gramEnd"/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BC4A13" w:rsidRPr="00BC4A13" w:rsidRDefault="00BC4A13" w:rsidP="00BC4A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7.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– технические средства обучения коллективного и индивидуального пользования для инвалидов и лиц с ограниченными возможностями здоровья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lang w:eastAsia="ru-RU"/>
              </w:rPr>
              <w:t> </w:t>
            </w: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отсутствуют.</w:t>
            </w:r>
          </w:p>
          <w:p w:rsidR="00BC4A13" w:rsidRPr="00BC4A13" w:rsidRDefault="00BC4A13" w:rsidP="00BC4A13">
            <w:pPr>
              <w:shd w:val="clear" w:color="auto" w:fill="F0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C4A13" w:rsidRPr="00BC4A13" w:rsidRDefault="00BC4A13" w:rsidP="00BC4A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BC4A13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lastRenderedPageBreak/>
        <w:t>﻿</w:t>
      </w:r>
      <w:r w:rsidRPr="00BC4A13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BC4A13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обучающихся</w:t>
      </w:r>
      <w:proofErr w:type="gramEnd"/>
    </w:p>
    <w:tbl>
      <w:tblPr>
        <w:tblW w:w="92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6296"/>
        <w:gridCol w:w="2969"/>
      </w:tblGrid>
      <w:tr w:rsidR="00BC4A13" w:rsidRPr="00BC4A13" w:rsidTr="00BC4A13">
        <w:trPr>
          <w:tblHeader/>
        </w:trPr>
        <w:tc>
          <w:tcPr>
            <w:tcW w:w="6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32" w:type="dxa"/>
              <w:left w:w="32" w:type="dxa"/>
              <w:bottom w:w="32" w:type="dxa"/>
              <w:right w:w="160" w:type="dxa"/>
            </w:tcMar>
            <w:hideMark/>
          </w:tcPr>
          <w:p w:rsidR="00BC4A13" w:rsidRPr="00BC4A13" w:rsidRDefault="00BC4A13" w:rsidP="00BC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2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32" w:type="dxa"/>
              <w:left w:w="32" w:type="dxa"/>
              <w:bottom w:w="32" w:type="dxa"/>
              <w:right w:w="160" w:type="dxa"/>
            </w:tcMar>
            <w:hideMark/>
          </w:tcPr>
          <w:p w:rsidR="00BC4A13" w:rsidRPr="00BC4A13" w:rsidRDefault="00BC4A13" w:rsidP="00BC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ru-RU"/>
              </w:rPr>
              <w:t>Ссылка</w:t>
            </w:r>
          </w:p>
        </w:tc>
      </w:tr>
      <w:tr w:rsidR="00BC4A13" w:rsidRPr="00BC4A13" w:rsidTr="00BC4A13">
        <w:tc>
          <w:tcPr>
            <w:tcW w:w="6267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C4A13" w:rsidRPr="00BC4A13" w:rsidRDefault="00BC4A13" w:rsidP="00BC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2956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C4A13" w:rsidRPr="00BC4A13" w:rsidRDefault="00365CD3" w:rsidP="00BC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4" w:tgtFrame="_blank" w:history="1">
              <w:r w:rsidR="00BC4A13" w:rsidRPr="00BC4A13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BC4A13" w:rsidRPr="00BC4A13" w:rsidTr="00BC4A13">
        <w:tc>
          <w:tcPr>
            <w:tcW w:w="6267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C4A13" w:rsidRPr="00BC4A13" w:rsidRDefault="00BC4A13" w:rsidP="00BC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2956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C4A13" w:rsidRPr="00BC4A13" w:rsidRDefault="00365CD3" w:rsidP="00BC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5" w:tgtFrame="_blank" w:history="1">
              <w:r w:rsidR="00BC4A13" w:rsidRPr="00BC4A1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http://www.edu.ru/</w:t>
              </w:r>
            </w:hyperlink>
          </w:p>
        </w:tc>
      </w:tr>
      <w:tr w:rsidR="00BC4A13" w:rsidRPr="00BC4A13" w:rsidTr="00BC4A13">
        <w:tc>
          <w:tcPr>
            <w:tcW w:w="6267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C4A13" w:rsidRPr="00BC4A13" w:rsidRDefault="00BC4A13" w:rsidP="00BC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2956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C4A13" w:rsidRPr="00BC4A13" w:rsidRDefault="00365CD3" w:rsidP="00BC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6" w:tgtFrame="_blank" w:history="1">
              <w:r w:rsidR="00BC4A13" w:rsidRPr="00BC4A1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http://window.edu.ru/</w:t>
              </w:r>
            </w:hyperlink>
          </w:p>
        </w:tc>
      </w:tr>
      <w:tr w:rsidR="00BC4A13" w:rsidRPr="00BC4A13" w:rsidTr="00BC4A13">
        <w:tc>
          <w:tcPr>
            <w:tcW w:w="6267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C4A13" w:rsidRPr="00BC4A13" w:rsidRDefault="00BC4A13" w:rsidP="00BC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956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FFFFFF" w:themeFill="background1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C4A13" w:rsidRPr="00BC4A13" w:rsidRDefault="00365CD3" w:rsidP="00BC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7" w:tgtFrame="_blank" w:history="1">
              <w:r w:rsidR="00BC4A13" w:rsidRPr="00BC4A1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http://school-collection.edu.ru/</w:t>
              </w:r>
            </w:hyperlink>
          </w:p>
        </w:tc>
      </w:tr>
      <w:tr w:rsidR="00BC4A13" w:rsidRPr="00BC4A13" w:rsidTr="00BC4A13">
        <w:tc>
          <w:tcPr>
            <w:tcW w:w="6267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C4A13" w:rsidRPr="00BC4A13" w:rsidRDefault="00BC4A13" w:rsidP="00BC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2956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C4A13" w:rsidRPr="00BC4A13" w:rsidRDefault="00365CD3" w:rsidP="00BC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8" w:tgtFrame="_blank" w:history="1">
              <w:r w:rsidR="00BC4A13" w:rsidRPr="00BC4A1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http://fcior.edu.ru/</w:t>
              </w:r>
            </w:hyperlink>
          </w:p>
        </w:tc>
      </w:tr>
      <w:tr w:rsidR="00BC4A13" w:rsidRPr="00BC4A13" w:rsidTr="00BC4A13">
        <w:tc>
          <w:tcPr>
            <w:tcW w:w="6267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C4A13" w:rsidRPr="00BC4A13" w:rsidRDefault="00BC4A13" w:rsidP="00BC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2956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FFFFFF" w:themeFill="background1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C4A13" w:rsidRPr="00BC4A13" w:rsidRDefault="00BC4A13" w:rsidP="00BC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4A1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9" w:history="1">
              <w:r w:rsidRPr="00BC4A13">
                <w:rPr>
                  <w:rFonts w:ascii="Times New Roman" w:eastAsia="Times New Roman" w:hAnsi="Times New Roman" w:cs="Times New Roman"/>
                  <w:color w:val="333399"/>
                  <w:sz w:val="20"/>
                  <w:lang w:eastAsia="ru-RU"/>
                </w:rPr>
                <w:t>http://gov.cap.ru/?gov_id</w:t>
              </w:r>
            </w:hyperlink>
          </w:p>
        </w:tc>
      </w:tr>
    </w:tbl>
    <w:p w:rsidR="00CC6669" w:rsidRDefault="00726087"/>
    <w:sectPr w:rsidR="00CC6669" w:rsidSect="00BC4A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A13"/>
    <w:rsid w:val="00072D41"/>
    <w:rsid w:val="000B5302"/>
    <w:rsid w:val="00334308"/>
    <w:rsid w:val="00365CD3"/>
    <w:rsid w:val="00450C6B"/>
    <w:rsid w:val="00485167"/>
    <w:rsid w:val="00726087"/>
    <w:rsid w:val="009C5EB9"/>
    <w:rsid w:val="00BC4A13"/>
    <w:rsid w:val="00EC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4A13"/>
  </w:style>
  <w:style w:type="paragraph" w:styleId="a3">
    <w:name w:val="Normal (Web)"/>
    <w:basedOn w:val="a"/>
    <w:uiPriority w:val="99"/>
    <w:semiHidden/>
    <w:unhideWhenUsed/>
    <w:rsid w:val="00BC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A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80abucjiibhv9a.xn--p1ai/" TargetMode="External"/><Relationship Id="rId9" Type="http://schemas.openxmlformats.org/officeDocument/2006/relationships/hyperlink" Target="http://gov.cap.ru/?gov_id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864</Words>
  <Characters>4931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dcterms:created xsi:type="dcterms:W3CDTF">2022-02-03T09:46:00Z</dcterms:created>
  <dcterms:modified xsi:type="dcterms:W3CDTF">2022-02-03T09:46:00Z</dcterms:modified>
</cp:coreProperties>
</file>