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E2" w:rsidRDefault="006B43E2" w:rsidP="006B4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комиссии по противодействию коррупции</w:t>
      </w:r>
    </w:p>
    <w:p w:rsidR="004532E6" w:rsidRDefault="004532E6" w:rsidP="004F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</w:t>
      </w:r>
      <w:r w:rsidR="003174E5">
        <w:rPr>
          <w:rFonts w:ascii="Times New Roman" w:eastAsia="Times New Roman" w:hAnsi="Times New Roman" w:cs="Times New Roman"/>
          <w:b/>
          <w:bCs/>
          <w:sz w:val="24"/>
          <w:szCs w:val="24"/>
        </w:rPr>
        <w:t>Можарская СОШ</w:t>
      </w: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F4471" w:rsidRPr="004532E6" w:rsidRDefault="004F4471" w:rsidP="004F4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1.1. Настоящим Положением определяется порядок формирования и деятельности Комиссии по противодействию коррупции в МБОУ </w:t>
      </w:r>
      <w:r w:rsidRPr="004F447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174E5">
        <w:rPr>
          <w:rFonts w:ascii="Times New Roman" w:eastAsia="Times New Roman" w:hAnsi="Times New Roman" w:cs="Times New Roman"/>
          <w:bCs/>
          <w:sz w:val="24"/>
          <w:szCs w:val="24"/>
        </w:rPr>
        <w:t>Можарская СОШ</w:t>
      </w:r>
      <w:r w:rsidRPr="004F447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F44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далее - Комиссия).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1.2. Комиссия образуется в целях: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EE44D8" w:rsidRDefault="004532E6" w:rsidP="003174E5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4532E6" w:rsidRPr="004532E6" w:rsidRDefault="004532E6" w:rsidP="003174E5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функционирования образовательной организации за счёт снижения рисков проявления коррупции.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1.3.  Комиссия  является  коллегиальным  совещательным  органом,  образованным  в  целях</w:t>
      </w:r>
      <w:r w:rsidR="004F4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оказания содействия образовательной организации в реализации вопросов антикоррупционной политики.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719DB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bookmarkStart w:id="0" w:name="_GoBack"/>
      <w:bookmarkEnd w:id="0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и нормативно – правовыми актами МБОУ </w:t>
      </w:r>
      <w:r w:rsidRPr="004532E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174E5">
        <w:rPr>
          <w:rFonts w:ascii="Times New Roman" w:eastAsia="Times New Roman" w:hAnsi="Times New Roman" w:cs="Times New Roman"/>
          <w:bCs/>
          <w:sz w:val="24"/>
          <w:szCs w:val="24"/>
        </w:rPr>
        <w:t>Можарская СОШ</w:t>
      </w:r>
      <w:r w:rsidRPr="0045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1.5. Положение о Комисс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состав утверждаются приказом по школе.</w:t>
      </w:r>
    </w:p>
    <w:p w:rsidR="004532E6" w:rsidRPr="004532E6" w:rsidRDefault="004532E6" w:rsidP="0031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Default="004532E6" w:rsidP="003174E5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и полномочия комиссии</w:t>
      </w:r>
    </w:p>
    <w:p w:rsidR="004F4471" w:rsidRPr="004532E6" w:rsidRDefault="004F4471" w:rsidP="003174E5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а) подготовка предложений по выработке и реализации образовательном учреждении антикоррупционной политики; </w:t>
      </w:r>
    </w:p>
    <w:p w:rsidR="004532E6" w:rsidRPr="004532E6" w:rsidRDefault="004532E6" w:rsidP="003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б) выявление и устранение причин и условий, способствующих возникновению и </w:t>
      </w:r>
    </w:p>
    <w:p w:rsidR="004532E6" w:rsidRPr="004532E6" w:rsidRDefault="004532E6" w:rsidP="003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распространению проявлений коррупции в деятельности образовательном учреждении;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школы по реализации антикоррупционной политики; 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г) создание единой системы информирования работников образовательном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д) формирование у работников антикоррупционного сознания, а также навыков антикоррупционного поведения; 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образовательном учреждении;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4532E6" w:rsidRPr="004532E6" w:rsidRDefault="004532E6" w:rsidP="003174E5">
      <w:pPr>
        <w:numPr>
          <w:ilvl w:val="0"/>
          <w:numId w:val="1"/>
        </w:numPr>
        <w:tabs>
          <w:tab w:val="left" w:pos="19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4532E6" w:rsidRPr="004532E6" w:rsidRDefault="004532E6" w:rsidP="003174E5">
      <w:pPr>
        <w:numPr>
          <w:ilvl w:val="1"/>
          <w:numId w:val="1"/>
        </w:numPr>
        <w:tabs>
          <w:tab w:val="left" w:pos="301"/>
        </w:tabs>
        <w:spacing w:after="0" w:line="240" w:lineRule="auto"/>
        <w:ind w:left="1" w:firstLine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4532E6" w:rsidRPr="004532E6" w:rsidRDefault="004532E6" w:rsidP="003174E5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заслушивать на заседаниях Комиссии руководителей, работников школы;</w:t>
      </w:r>
    </w:p>
    <w:p w:rsidR="004532E6" w:rsidRPr="004532E6" w:rsidRDefault="004532E6" w:rsidP="003174E5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учреждении;</w:t>
      </w:r>
    </w:p>
    <w:p w:rsidR="004532E6" w:rsidRPr="004532E6" w:rsidRDefault="004532E6" w:rsidP="003174E5">
      <w:pPr>
        <w:numPr>
          <w:ilvl w:val="0"/>
          <w:numId w:val="1"/>
        </w:numPr>
        <w:tabs>
          <w:tab w:val="left" w:pos="16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4532E6" w:rsidRPr="004532E6" w:rsidRDefault="004532E6" w:rsidP="003174E5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4532E6" w:rsidRPr="004532E6" w:rsidRDefault="004532E6" w:rsidP="003174E5">
      <w:pPr>
        <w:numPr>
          <w:ilvl w:val="0"/>
          <w:numId w:val="2"/>
        </w:numPr>
        <w:tabs>
          <w:tab w:val="left" w:pos="25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работников образовательного учреждения, совершивших коррупционные правонарушения;</w:t>
      </w:r>
    </w:p>
    <w:p w:rsidR="004532E6" w:rsidRPr="004532E6" w:rsidRDefault="004532E6" w:rsidP="003174E5">
      <w:pPr>
        <w:numPr>
          <w:ilvl w:val="0"/>
          <w:numId w:val="2"/>
        </w:numPr>
        <w:tabs>
          <w:tab w:val="left" w:pos="27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создавать временные рабочие группы по вопросам реализации антикоррупционной политики.</w:t>
      </w:r>
    </w:p>
    <w:p w:rsidR="004532E6" w:rsidRPr="004532E6" w:rsidRDefault="004532E6" w:rsidP="0031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Default="004532E6" w:rsidP="003174E5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Комиссии.</w:t>
      </w:r>
    </w:p>
    <w:p w:rsidR="004F4471" w:rsidRPr="004532E6" w:rsidRDefault="004F4471" w:rsidP="003174E5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3.1.  Комиссия формируется в составе председателя комиссии, секретаря и членов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3.3.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numPr>
          <w:ilvl w:val="0"/>
          <w:numId w:val="3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Комиссии.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4532E6" w:rsidRPr="004532E6" w:rsidRDefault="004532E6" w:rsidP="003174E5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4532E6" w:rsidRPr="004532E6" w:rsidRDefault="004532E6" w:rsidP="003174E5">
      <w:pPr>
        <w:numPr>
          <w:ilvl w:val="0"/>
          <w:numId w:val="4"/>
        </w:numPr>
        <w:tabs>
          <w:tab w:val="left" w:pos="15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совершение деяний, указанных в подпункте 1 настоящего пункта, от имени или в интересах юридического лица;</w:t>
      </w:r>
    </w:p>
    <w:p w:rsidR="004532E6" w:rsidRPr="004532E6" w:rsidRDefault="004532E6" w:rsidP="003174E5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наличие у работника личной заинтересованности, которая приводит или может привести к конфликту интересов;</w:t>
      </w:r>
    </w:p>
    <w:p w:rsidR="004532E6" w:rsidRPr="004532E6" w:rsidRDefault="004532E6" w:rsidP="003174E5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 к служебному поведению и (или) требований об урегулировании конфликта интересов.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4532E6" w:rsidRPr="004532E6" w:rsidRDefault="004532E6" w:rsidP="003174E5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фамилию, имя, отчество работника и замещаемую им должность;</w:t>
      </w:r>
    </w:p>
    <w:p w:rsidR="004532E6" w:rsidRPr="004532E6" w:rsidRDefault="004532E6" w:rsidP="003174E5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532E6" w:rsidRPr="004532E6" w:rsidRDefault="004532E6" w:rsidP="003174E5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данные об источнике информации.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4532E6" w:rsidRPr="004532E6" w:rsidRDefault="004532E6" w:rsidP="003174E5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4532E6" w:rsidRPr="004532E6" w:rsidRDefault="004532E6" w:rsidP="003174E5">
      <w:pPr>
        <w:numPr>
          <w:ilvl w:val="0"/>
          <w:numId w:val="5"/>
        </w:numPr>
        <w:tabs>
          <w:tab w:val="left" w:pos="21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532E6" w:rsidRPr="004532E6" w:rsidRDefault="004532E6" w:rsidP="003174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532E6" w:rsidRPr="004532E6" w:rsidRDefault="00EC34CE" w:rsidP="003174E5">
      <w:pPr>
        <w:numPr>
          <w:ilvl w:val="1"/>
          <w:numId w:val="5"/>
        </w:numPr>
        <w:tabs>
          <w:tab w:val="left" w:pos="990"/>
        </w:tabs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32E6" w:rsidRPr="004532E6">
        <w:rPr>
          <w:rFonts w:ascii="Times New Roman" w:eastAsia="Times New Roman" w:hAnsi="Times New Roman" w:cs="Times New Roman"/>
          <w:sz w:val="24"/>
          <w:szCs w:val="24"/>
        </w:rPr>
        <w:t>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2E6" w:rsidRPr="004532E6">
        <w:rPr>
          <w:rFonts w:ascii="Times New Roman" w:eastAsia="Times New Roman" w:hAnsi="Times New Roman" w:cs="Times New Roman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образовательного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целях принятия мер по предотвращению конфликта интересов, усиления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4.8. Решения Комиссии принимаются простым большинством голосов от числа присутствующих членов Комиссии.</w:t>
      </w:r>
    </w:p>
    <w:p w:rsidR="004532E6" w:rsidRPr="004532E6" w:rsidRDefault="004532E6" w:rsidP="003174E5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21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4532E6" w:rsidRPr="004532E6" w:rsidRDefault="004532E6" w:rsidP="0031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F4471" w:rsidRDefault="004532E6" w:rsidP="003174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47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Комиссии.</w:t>
      </w:r>
    </w:p>
    <w:p w:rsidR="004532E6" w:rsidRPr="004532E6" w:rsidRDefault="004532E6" w:rsidP="0031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5.1.1. Председатель Комиссии: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работу Комиссии;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разрабатывает план работы Комиссии: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18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созывает заседание Комиссии;</w:t>
      </w:r>
    </w:p>
    <w:p w:rsidR="004532E6" w:rsidRPr="004532E6" w:rsidRDefault="004532E6" w:rsidP="003174E5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Комиссий;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5.1.3. Секретарь Комиссии: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5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материалов для рассмотрения вопросов Комиссией;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направляет членам Комиссии материалы к очередному заседанию;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ведёт протоколы заседаний Комиссии, ведёт документацию Комиссии;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плановых отчётов;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обеспечивает хранение документации поступающей в Комиссию;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20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работу по наполнению и обновлению раздела сайта МБОУ «</w:t>
      </w:r>
      <w:r w:rsidR="00EC34CE">
        <w:rPr>
          <w:rFonts w:ascii="Times New Roman" w:eastAsia="Times New Roman" w:hAnsi="Times New Roman" w:cs="Times New Roman"/>
          <w:sz w:val="24"/>
          <w:szCs w:val="24"/>
        </w:rPr>
        <w:t>Школа № 65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» посвященного вопросам: противодействия коррупции;</w:t>
      </w:r>
    </w:p>
    <w:p w:rsidR="004532E6" w:rsidRPr="004532E6" w:rsidRDefault="004532E6" w:rsidP="003174E5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5.5.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учреждения, представители государственных органов и организаций.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numPr>
          <w:ilvl w:val="0"/>
          <w:numId w:val="8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принятия Комиссией решений.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решений комиссии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2E6" w:rsidRPr="004532E6" w:rsidRDefault="004532E6" w:rsidP="003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7.1. Решения Комиссии оформляются протоколами, которые подписывают члены комиссии, принимавшие участие в ее заседании.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4532E6" w:rsidRPr="004532E6" w:rsidRDefault="004532E6" w:rsidP="003174E5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7.3. В решении Комиссии указываются: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57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 выступивших на заседании лиц и краткое изложение их выступлений;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содержание пояснений работника, в отношении которого рассматривался вопрос;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результаты голосования;</w:t>
      </w:r>
    </w:p>
    <w:p w:rsidR="004532E6" w:rsidRPr="004532E6" w:rsidRDefault="004532E6" w:rsidP="003174E5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решение и обоснование его принятия.</w:t>
      </w:r>
    </w:p>
    <w:p w:rsidR="004532E6" w:rsidRPr="004532E6" w:rsidRDefault="004532E6" w:rsidP="003174E5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7.4.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843DC5" w:rsidRPr="004532E6" w:rsidRDefault="00843DC5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DC5" w:rsidRPr="004532E6" w:rsidSect="00672A7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E6"/>
    <w:rsid w:val="00003393"/>
    <w:rsid w:val="0006608B"/>
    <w:rsid w:val="002025DC"/>
    <w:rsid w:val="00276E22"/>
    <w:rsid w:val="002B46E2"/>
    <w:rsid w:val="003174E5"/>
    <w:rsid w:val="004532E6"/>
    <w:rsid w:val="004719DB"/>
    <w:rsid w:val="0049577B"/>
    <w:rsid w:val="004F4471"/>
    <w:rsid w:val="00672A77"/>
    <w:rsid w:val="006B43E2"/>
    <w:rsid w:val="007B47A8"/>
    <w:rsid w:val="00843DC5"/>
    <w:rsid w:val="009D7819"/>
    <w:rsid w:val="00AB10F0"/>
    <w:rsid w:val="00AF55E8"/>
    <w:rsid w:val="00EC34CE"/>
    <w:rsid w:val="00E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1"/>
    <w:pPr>
      <w:ind w:left="720"/>
      <w:contextualSpacing/>
    </w:pPr>
  </w:style>
  <w:style w:type="paragraph" w:customStyle="1" w:styleId="ConsPlusNormal">
    <w:name w:val="ConsPlusNormal"/>
    <w:rsid w:val="0049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uiPriority w:val="1"/>
    <w:qFormat/>
    <w:rsid w:val="0049577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9577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No Spacing"/>
    <w:uiPriority w:val="1"/>
    <w:qFormat/>
    <w:rsid w:val="004957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1"/>
    <w:pPr>
      <w:ind w:left="720"/>
      <w:contextualSpacing/>
    </w:pPr>
  </w:style>
  <w:style w:type="paragraph" w:customStyle="1" w:styleId="ConsPlusNormal">
    <w:name w:val="ConsPlusNormal"/>
    <w:rsid w:val="0049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uiPriority w:val="1"/>
    <w:qFormat/>
    <w:rsid w:val="0049577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9577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No Spacing"/>
    <w:uiPriority w:val="1"/>
    <w:qFormat/>
    <w:rsid w:val="004957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cp:lastPrinted>2020-04-06T05:55:00Z</cp:lastPrinted>
  <dcterms:created xsi:type="dcterms:W3CDTF">2022-06-17T09:16:00Z</dcterms:created>
  <dcterms:modified xsi:type="dcterms:W3CDTF">2022-06-17T09:16:00Z</dcterms:modified>
</cp:coreProperties>
</file>