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EB" w:rsidRPr="00CC06EB" w:rsidRDefault="00CC06EB" w:rsidP="0014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CC06EB" w:rsidRPr="00141893" w:rsidRDefault="00CC06EB" w:rsidP="0014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41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proofErr w:type="spellStart"/>
      <w:r w:rsidRPr="00141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Карабай-Шемуршинская</w:t>
      </w:r>
      <w:proofErr w:type="spellEnd"/>
      <w:r w:rsidRPr="00141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C06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средняя общеобразовательная школа</w:t>
      </w:r>
      <w:r w:rsidRPr="00141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:rsidR="00CC06EB" w:rsidRPr="00CC06EB" w:rsidRDefault="00CC06EB" w:rsidP="0014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1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Шемуршинского</w:t>
      </w:r>
      <w:proofErr w:type="spellEnd"/>
      <w:r w:rsidRPr="00141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Чувашской Республики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«Организация методической работы в школе»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141893">
      <w:pPr>
        <w:pStyle w:val="a3"/>
        <w:jc w:val="right"/>
        <w:rPr>
          <w:rFonts w:ascii="Times New Roman" w:hAnsi="Times New Roman" w:cs="Times New Roman"/>
        </w:rPr>
      </w:pPr>
      <w:r w:rsidRPr="00CC06EB">
        <w:rPr>
          <w:rFonts w:ascii="Times New Roman" w:hAnsi="Times New Roman" w:cs="Times New Roman"/>
        </w:rPr>
        <w:t>заместитель директора по учебно-воспитательной работе</w:t>
      </w:r>
    </w:p>
    <w:p w:rsidR="00CC06EB" w:rsidRPr="00CC06EB" w:rsidRDefault="00CC06EB" w:rsidP="00141893">
      <w:pPr>
        <w:pStyle w:val="a3"/>
        <w:jc w:val="right"/>
        <w:rPr>
          <w:rFonts w:ascii="Times New Roman" w:hAnsi="Times New Roman" w:cs="Times New Roman"/>
        </w:rPr>
      </w:pPr>
    </w:p>
    <w:p w:rsidR="00CC06EB" w:rsidRPr="00CC06EB" w:rsidRDefault="00CC06EB" w:rsidP="00141893">
      <w:pPr>
        <w:pStyle w:val="a3"/>
        <w:jc w:val="right"/>
        <w:rPr>
          <w:rFonts w:ascii="Times New Roman" w:hAnsi="Times New Roman" w:cs="Times New Roman"/>
        </w:rPr>
      </w:pPr>
      <w:r w:rsidRPr="00CC06EB">
        <w:rPr>
          <w:rFonts w:ascii="Times New Roman" w:hAnsi="Times New Roman" w:cs="Times New Roman"/>
        </w:rPr>
        <w:t>Андреева Роза Сергеевна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93" w:rsidRDefault="00141893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93" w:rsidRDefault="00141893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93" w:rsidRDefault="00141893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93" w:rsidRDefault="00141893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93" w:rsidRPr="00CC06EB" w:rsidRDefault="00141893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Оглавление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Введение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1.Понятие «Методическая работа»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2.Миссия, цели и задачи методической работы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3.Структура методической службы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4.Организация работы методического совета школы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методического сопровождения образовательной практики в условиях введения и реализации ФГОС особенно актуальны. В период перехода на новые образовательные стандарты необходима мотивационная и методическая готовность учителей школы.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главная роль в реализации основных требований Стандарта нового поколения отведена именно учителю, современный педагог должен быть креативным: быть открытым новшествам, владеющим современными образовательными технологиями; эффективно взаимодействующим с семьями учащихся; мотивированным на работу с учащимися, способным к личностному и профессиональному развитию.</w:t>
      </w:r>
      <w:proofErr w:type="gramEnd"/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повышения профессионального мастерства педагогов для эффективного управления качеством образовательного процесса решает методическая работа в школе.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работы – определить, как должна быть организована методическая работа в школе.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CC06EB" w:rsidRPr="00CC06EB" w:rsidRDefault="00CC06EB" w:rsidP="00CC06E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определение методической работы;</w:t>
      </w:r>
    </w:p>
    <w:p w:rsidR="00CC06EB" w:rsidRPr="00CC06EB" w:rsidRDefault="00CC06EB" w:rsidP="00CC06E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выяснить, какие цели и задачи преследует методическая работа в школе;</w:t>
      </w:r>
    </w:p>
    <w:p w:rsidR="00CC06EB" w:rsidRPr="00CC06EB" w:rsidRDefault="00CC06EB" w:rsidP="00CC06E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определить структуру методической службы;</w:t>
      </w:r>
    </w:p>
    <w:p w:rsidR="00CC06EB" w:rsidRPr="00CC06EB" w:rsidRDefault="00CC06EB" w:rsidP="00CC06E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познакомиться с организацией работы методического совета школы.</w:t>
      </w:r>
    </w:p>
    <w:p w:rsidR="00CC06EB" w:rsidRPr="00CC06EB" w:rsidRDefault="00CC06EB" w:rsidP="00CC06E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Понятие «Методическая работа»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что же вкладывается в понятие «методическая работа в школе»?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понятие многогранное. 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– 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выступает необходимой организационной основой для формирования инновационной направленности инновационной среды.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методической работой в школе может протекать эффективно, если ее задачи, содержание ясно представляют себе учителя.</w:t>
      </w:r>
    </w:p>
    <w:p w:rsidR="00CC06EB" w:rsidRPr="00CC06EB" w:rsidRDefault="00CC06EB" w:rsidP="00CC06E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Миссия, цели и задачи методической работы.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Миссия методической работы - создание условий </w:t>
      </w:r>
      <w:proofErr w:type="gram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C06EB" w:rsidRPr="00CC06EB" w:rsidRDefault="00CC06EB" w:rsidP="00CC06E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смены типа образовательной деятельности, предполагающей переход от «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знаниевой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» модели образования в школе к «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деятельностной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CC06EB" w:rsidRPr="00CC06EB" w:rsidRDefault="00CC06EB" w:rsidP="00CC06E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успешной работы педагогического коллектива в режиме развития;</w:t>
      </w:r>
    </w:p>
    <w:p w:rsidR="00CC06EB" w:rsidRPr="00CC06EB" w:rsidRDefault="00CC06EB" w:rsidP="00CC06E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формирования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методической работы:</w:t>
      </w:r>
    </w:p>
    <w:p w:rsidR="00CC06EB" w:rsidRPr="00CC06EB" w:rsidRDefault="00CC06EB" w:rsidP="00CC06E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модели методического сопровождения перехода на новые федеральные государственные образовательные стандарты, создание предпосылок для реализации ФГОС нового поколения в ОУ основной школы.</w:t>
      </w:r>
    </w:p>
    <w:p w:rsidR="00CC06EB" w:rsidRPr="00CC06EB" w:rsidRDefault="00CC06EB" w:rsidP="00CC06E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методической работы: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технологий системно-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компетентностно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-ориентированного подхода в образовании для обеспечения формирования базовых компетентностей современного человека (информационной, коммуникативной, самоорганизации, самообразования); 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в ОО современных условий образовательного процесса в соответствии с новым ФГОС;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научно-методического сопровождения разработки и реализации основной образовательной программы в общеобразовательной организации;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деятельности ОО по введению и реализации ФГОС нового поколения: подготовка предложений по нормативной базе, согласование целей, задач всех элементов системы, планирование, анализ результатов, коррекция по итогам мониторинга и анализа, выстраивание сетевого взаимодействия всех субъектов образовательного процесса;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инновационной направленности в деятельности педагогического коллектива школы;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уровня теоретической (предметной) и психолого-педагогической подготовки учителей.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обогащение новыми педагогическими технологиями, формами и методами обучения и воспитания;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научно-методической помощи учителям на диагностической индивидуализированной и дифференцированной основе;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консультативной помощи учителям в организации педагогического самообразования;</w:t>
      </w:r>
    </w:p>
    <w:p w:rsidR="00CC06EB" w:rsidRPr="00CC06EB" w:rsidRDefault="00CC06EB" w:rsidP="00CC06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общего уровня профессионально-педагогической культуры.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 методической работы: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группа функций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формирование индивидуальной, творческой, авторской, высокоэффективной системы, педагогической деятельности: 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обогащение знаний педагогов;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мировоззрения, ценностных ориентаций, убеждений;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мотивов творческой деятельности;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устойчивых нравственных качеств личностей;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современного стиля педагогического мышления;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педагогической техники;</w:t>
      </w:r>
    </w:p>
    <w:p w:rsidR="00CC06EB" w:rsidRPr="00CC06EB" w:rsidRDefault="00CC06EB" w:rsidP="00CC06E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умений </w:t>
      </w:r>
      <w:proofErr w:type="gram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эмоционально-волевой</w:t>
      </w:r>
      <w:proofErr w:type="gram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саморегуляции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группа функций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функции по отношению к педагогическому коллективу: 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сплочение 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педколлектива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коллектива единомышленников;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выработка единой позиции, общих ценностей, традиций;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диагностики реальных учебных возможностей учащихся;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 анализ качества знаний, умений и навыков, воспитанности и развития школьников;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выявление, обобщение, распространение 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педагогического опыта;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стимулирование группового творчества и инициативы членов педагогического коллектива;</w:t>
      </w:r>
    </w:p>
    <w:p w:rsidR="00CC06EB" w:rsidRPr="00CC06EB" w:rsidRDefault="00CC06EB" w:rsidP="00CC06E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приобщение коллектива к научно-исследовательской, опытно-экспериментальной работе, к целенаправленному созданию нового опыта своей школы.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группа функций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обеспечивает посредничество между школой и широкими системами: </w:t>
      </w:r>
    </w:p>
    <w:p w:rsidR="00CC06EB" w:rsidRPr="00CC06EB" w:rsidRDefault="00CC06EB" w:rsidP="00CC06E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творчество осмысления социального заказа, новых нормативных актов и документов, доведение их смысла до сознания каждого педагога;</w:t>
      </w:r>
    </w:p>
    <w:p w:rsidR="00CC06EB" w:rsidRPr="00CC06EB" w:rsidRDefault="00CC06EB" w:rsidP="00CC06E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достижений передового и педагогического, и новаторского педагогического опыта;</w:t>
      </w:r>
    </w:p>
    <w:p w:rsidR="00CC06EB" w:rsidRPr="00CC06EB" w:rsidRDefault="00CC06EB" w:rsidP="00CC06E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и использование достижений психолого-педагогической науки, других научных дисциплин;</w:t>
      </w:r>
    </w:p>
    <w:p w:rsidR="00CC06EB" w:rsidRPr="00CC06EB" w:rsidRDefault="00CC06EB" w:rsidP="00CC06E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распространение за рамки школы лучшего опыта, созданного внутри данного коллектива.</w:t>
      </w:r>
    </w:p>
    <w:p w:rsidR="00CC06EB" w:rsidRPr="00CC06EB" w:rsidRDefault="00CC06EB" w:rsidP="00CC06E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методической службы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Педагогический совет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высшей формой самоуправления в школе, необходим для решения задач развития и самосовершенствования образовательной деятельности, повышения педагогического мастерства и творческого роста учителей и учащихся в ОО. Педагогический совет определяет ведущие направления деятельности школы, в ходе его обсуждаются вопросы учебно-воспитательного процесса, плана работы, даётся оценка деятельности руководства школы, учителей, в целом педагогического коллектива, решаются организационные вопросы. Членами педагогического совета являются все педагогические работники, состоящие в трудовых отношениях с ОО, заведующий библиотекой, руководители структурных подразделений ОО.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Методический совет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создаётся с целью координации деятельности всех структурных подразделений методической службы ОО, является консультативным органом по вопросам организации методической работы, способствует формированию творческого подхода к педагогической, проектно-исследовательской, инновационной деятельности. Методический совет объединяет на добровольной основе педагогических работников ОО и осуществляет свою деятельность в соответствии с Положением методическом совете ОО.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объединение учителей-предметников</w:t>
      </w: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структурным подразделением методической службы ОО. В методическое объединение учителей-предметников входят учителя, преподающие один и тот же предмет (или дисциплины одной образовательной области) или предметы в одной ступени обучения, или классные руководители.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методического объединения учителей-предметников строится в соответствии с программой развития школы, решениями педагогического совета, планом работы, утверждённым методическим советом.</w:t>
      </w:r>
    </w:p>
    <w:p w:rsidR="00CC06EB" w:rsidRPr="00CC06EB" w:rsidRDefault="00CC06EB" w:rsidP="00CC06E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работы методического совета школы.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компетенции методического совета относится:</w:t>
      </w:r>
    </w:p>
    <w:p w:rsidR="00CC06EB" w:rsidRPr="00CC06EB" w:rsidRDefault="00CC06EB" w:rsidP="00CC06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проблемного анализа результатов образовательной деятельности;</w:t>
      </w:r>
    </w:p>
    <w:p w:rsidR="00CC06EB" w:rsidRPr="00CC06EB" w:rsidRDefault="00CC06EB" w:rsidP="00CC06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внесение предложений по изменению содержания и структуры обязательных учебных курсов, их учебно-методического обеспечения;</w:t>
      </w:r>
    </w:p>
    <w:p w:rsidR="00CC06EB" w:rsidRPr="00CC06EB" w:rsidRDefault="00CC06EB" w:rsidP="00CC06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CC06EB" w:rsidRPr="00CC06EB" w:rsidRDefault="00CC06EB" w:rsidP="00CC06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внесение предложений по организации и содержанию исследований, направленных на улучшение усвоения знаний учащимися учебного материала в соответствии с ФГОС;</w:t>
      </w:r>
    </w:p>
    <w:p w:rsidR="00CC06EB" w:rsidRPr="00CC06EB" w:rsidRDefault="00CC06EB" w:rsidP="00CC06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методических рекомендаций в помощь учителям и оказание помощи в их освоении;</w:t>
      </w:r>
    </w:p>
    <w:p w:rsidR="00CC06EB" w:rsidRPr="00CC06EB" w:rsidRDefault="00CC06EB" w:rsidP="00CC06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работы с молодыми педагогическими работниками.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своей работе методический совет подчиняется педагогическому совету.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организации деятельности методического совета ОО определяется Уставом ОО и Положением о методическом совете, утверждённом приказом директора школы.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Документация методического совета</w:t>
      </w:r>
    </w:p>
    <w:p w:rsidR="00CC06EB" w:rsidRP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регламентации работы методического совета необходимы следующие документы: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методическом совете школы (Приложение 1);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директора школы о создании методического совета и назначении на должность председателя методического совета (Приложение 2);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работы методического совета за прошедший учебный год;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работы на текущий учебный год;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картотека данных об учителях (Приложение 3);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индивидуальных темах методического самообразования учителей;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 проведения открытых уроков и внеклассных мероприятий;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планы проведения предметных недель;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проведения конкурсов и олимпиад различных уровней;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конкурсах и школьном туре олимпиад;</w:t>
      </w:r>
    </w:p>
    <w:p w:rsidR="00CC06EB" w:rsidRPr="00CC06EB" w:rsidRDefault="00CC06EB" w:rsidP="00CC06E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протоколы заседаний методического совета.</w:t>
      </w: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Default="00CC06EB" w:rsidP="00CC06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1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методическом совете Школы</w:t>
      </w:r>
    </w:p>
    <w:p w:rsidR="00CC06EB" w:rsidRPr="00CC06EB" w:rsidRDefault="00CC06EB" w:rsidP="00CC06EB">
      <w:p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образовании», Уставом Школы и регламентирует работу Методического совета Школы.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совет создаётся в целях </w:t>
      </w:r>
      <w:proofErr w:type="gramStart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деятельности всех структурных подразделений методической службы Школы</w:t>
      </w:r>
      <w:proofErr w:type="gramEnd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совет является педагогическим коллегиальным органом </w:t>
      </w:r>
      <w:proofErr w:type="spellStart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способствующим формированию творческого подхода к педагогической деятельности.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–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Школы является основным структурным подразделением методической службы Школы, обеспечивающим сопровождение учебно-воспитательной, методической работы в Школе.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Методический совет в своей деятельности соблюдает Конвенцию о правах ребёнка, руководствуется законами Российской Федерации и решениями Правительства Российской Федерации, органов управления образованием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 деятельности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методического совета: обеспечение гибкости и оперативности методической работы Школы, координация деятельности школьных методических объединений, направленных на развитие методического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повышение квалификации учителей, формирование профессионально значимых качеств учителя, классного руководителя, воспитателя, рост их профессионального мастерства; организация опытно-поисковой, инновационной и исследовательской деятельности учреждения, направленной на освоение новых педагогических технологий, разработку авторских программ, формирование ключевых компетенций, сохранение и укрепление здоровья школьников и т.д.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деятельности методического совета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как структурное подразделение Школы создаётся для решения определённых задач, возложенных на неё: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консультирования сотрудников Школы по проблемам совершенствования профессионального мастерства, методики проведения различного вида занятий и их учебно-методического и материально-технического обеспечения: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в учебный процесс современных учебно-методических технологий: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поиска в 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-образовательном процессе современных методик, форм, средств и методов преподавания, направленных на освоение новых педагогических технологий и т.д.;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качества образования в соответствии с современными требованиями к условиям осуществления образовательного процесса в рамках ФГОС начального общего, основного общего образования и формирования готовности и способности учащихся к саморазвитию и высокой социальной активности;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профессиональных достижений педагогических работников, обобщение положительного опыта каждого в средствах массовой информации, сети Интернет; выявление, обобщение и распространение положительного опыта творчески работающих учителей с целью использования имеющегося опыта другими образовательными организациями;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консультирования сотрудников Школы по проблемам совершенствования профессионального мастерства, методики проведения различного вида занятий их учебно-методического и материально-технического обеспечения;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Школы и работы учителя;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методического сопровождения учебных программ, разработка учебных, методических и дидактических материалов;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результатов педагогической деятельности, выявление и предупреждение ошибок, затруднений и перегрузки учащихся и учителей;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системно-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 в деятельности, условий для самообразования, самосовершенствования и самореализации личности педагога.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направления деятельности.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научно-исследовательской деятельности в Школе; выработка и согласование подходов к организации, осуществлению и оценке инновационной деятельности;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разработке вариативной части учебных планов, обсуждение рабочих программ и рекомендаций их педагогическому совету для рассмотрения и утверждения;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результатов образовательной деятельности по предметам;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и экспертиза результатов деятельности членов педагогического коллектива, рекомендации по повышению квалификации и квалификационного разряда учителей, представлению к званиям, наградам и другим поощрениям;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общего руководства методической, научной, инновационной деятельностью, проведение школьных научно-практических конференций, педагогических чтений, семинаров, смотров, недель, методических дней, декад и пр.;</w:t>
      </w:r>
      <w:proofErr w:type="gramEnd"/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и оценка рабочих программ по изучаемым предметам;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нормативной и методической документации по вопросам образования;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выработка единых требований по оценке результатов освоения учащимися учебных программ;</w:t>
      </w:r>
    </w:p>
    <w:p w:rsidR="00CC06EB" w:rsidRPr="00CC06EB" w:rsidRDefault="00CC06EB" w:rsidP="00CC06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обобщение и распространение передового педагогического опыта.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и организация деятельности.</w:t>
      </w:r>
    </w:p>
    <w:p w:rsidR="00CC06EB" w:rsidRPr="00CC06EB" w:rsidRDefault="00CC06EB" w:rsidP="00DA17F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Методический совет создаётся, реорганизуется и ликвидируется приказом директора Школы.</w:t>
      </w:r>
    </w:p>
    <w:p w:rsidR="00CC06EB" w:rsidRPr="00CC06EB" w:rsidRDefault="00CC06EB" w:rsidP="00DA17F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Методический совет подчиняется педагогическому совету Школы, строит работу с учётом решений педагогических советов.</w:t>
      </w:r>
    </w:p>
    <w:p w:rsidR="00CC06EB" w:rsidRPr="00CC06EB" w:rsidRDefault="00CC06EB" w:rsidP="00DA17F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 советом заместитель директора по учебно-воспитательной работе. Для обеспечения работы методический совет избирает секретаря (на год) из числа членов методического совета на первом заседании открытым голосованием.</w:t>
      </w:r>
    </w:p>
    <w:p w:rsidR="00CC06EB" w:rsidRPr="00CC06EB" w:rsidRDefault="00CC06EB" w:rsidP="00DA17F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Членами методического совета являются руководители школьных методических объединений, заместитель директора по УВР, заместитель директора по ВР, творчески работающие учителя, учителя высшей квалификационной категории.</w:t>
      </w:r>
    </w:p>
    <w:p w:rsidR="00CC06EB" w:rsidRPr="00CC06EB" w:rsidRDefault="00CC06EB" w:rsidP="00DA17F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совета осуществляется на основе годового плана работы, который составляется председателем методического совета, согласовывается на заседании педагогического совета школы и утверждается директором.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формы работы методического совета:</w:t>
      </w:r>
    </w:p>
    <w:p w:rsidR="00CC06EB" w:rsidRPr="00CC06EB" w:rsidRDefault="00CC06EB" w:rsidP="00CC06EB">
      <w:pPr>
        <w:numPr>
          <w:ilvl w:val="0"/>
          <w:numId w:val="21"/>
        </w:numPr>
        <w:spacing w:before="100" w:beforeAutospacing="1" w:after="100" w:afterAutospacing="1" w:line="34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Тематические и проблемные семинары;</w:t>
      </w:r>
    </w:p>
    <w:p w:rsidR="00CC06EB" w:rsidRPr="00CC06EB" w:rsidRDefault="00CC06EB" w:rsidP="00CC06EB">
      <w:pPr>
        <w:numPr>
          <w:ilvl w:val="0"/>
          <w:numId w:val="21"/>
        </w:numPr>
        <w:spacing w:before="100" w:beforeAutospacing="1" w:after="100" w:afterAutospacing="1" w:line="34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Практикумы и организационно-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деятельностные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игры;</w:t>
      </w:r>
    </w:p>
    <w:p w:rsidR="00CC06EB" w:rsidRPr="00CC06EB" w:rsidRDefault="00CC06EB" w:rsidP="00CC06EB">
      <w:pPr>
        <w:numPr>
          <w:ilvl w:val="0"/>
          <w:numId w:val="21"/>
        </w:numPr>
        <w:spacing w:before="100" w:beforeAutospacing="1" w:after="100" w:afterAutospacing="1" w:line="34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Консультации;</w:t>
      </w:r>
    </w:p>
    <w:p w:rsidR="00CC06EB" w:rsidRPr="00CC06EB" w:rsidRDefault="00CC06EB" w:rsidP="00CC06EB">
      <w:pPr>
        <w:numPr>
          <w:ilvl w:val="0"/>
          <w:numId w:val="21"/>
        </w:numPr>
        <w:spacing w:before="100" w:beforeAutospacing="1" w:after="100" w:afterAutospacing="1" w:line="34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Круглые столы по обмену опытом;</w:t>
      </w:r>
    </w:p>
    <w:p w:rsidR="00CC06EB" w:rsidRPr="00CC06EB" w:rsidRDefault="00CC06EB" w:rsidP="00CC06EB">
      <w:pPr>
        <w:numPr>
          <w:ilvl w:val="0"/>
          <w:numId w:val="21"/>
        </w:numPr>
        <w:spacing w:before="100" w:beforeAutospacing="1" w:after="100" w:afterAutospacing="1" w:line="34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Лекции, доклады, дискуссии по методике обучения и воспитания, вопросам общей педагогики и психологии;</w:t>
      </w:r>
    </w:p>
    <w:p w:rsidR="00CC06EB" w:rsidRPr="00CC06EB" w:rsidRDefault="00CC06EB" w:rsidP="00CC06EB">
      <w:pPr>
        <w:numPr>
          <w:ilvl w:val="0"/>
          <w:numId w:val="21"/>
        </w:numPr>
        <w:spacing w:before="100" w:beforeAutospacing="1" w:after="100" w:afterAutospacing="1" w:line="34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Индивидуальная</w:t>
      </w:r>
      <w:proofErr w:type="gram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коллективная исследовательская </w:t>
      </w:r>
      <w:proofErr w:type="spellStart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деятельностьпо</w:t>
      </w:r>
      <w:proofErr w:type="spellEnd"/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разработке актуальных методических проблем.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совета проводятся не реже одного раза в триместр. Заседание считается правомочным при наличии 2/3 членов методического совета.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обсуждаемых на совете вопросов принимаются рекомендации, которые фиксируются в протоколе и заверяются председателем и секретарём совета. Протоколы включены в номенклатуру Школы и хранятся 5 лет.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представляет ежегодный отчёт о проделанной работе.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методического совета принимаются в соответствии с существующим законодательством и могут быть обжалованы на педагогическом совете Школы.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 методического совета.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имеет право: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предложения и рекомендовать учителей для повышения квалификационной категории, выдвигать от методического объединения учителей для участия в профессиональном конкурсе «Учитель года»;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о публикации материалов передового педагогического опыта, накопленного методическим объединением;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руководством Школы о поощрении сотрудников за особые успехи в организации учебно-воспитательного процесса.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деятельности методического совета.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методический совет подчинён педагогическому совету Школы.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деятельности осуществляется директором в соответствии с планами методической работы и </w:t>
      </w:r>
      <w:proofErr w:type="spellStart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Взаимодействие методического совета Школы с органами </w:t>
      </w:r>
      <w:proofErr w:type="spellStart"/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внутришкольного</w:t>
      </w:r>
      <w:proofErr w:type="spellEnd"/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управления.</w:t>
      </w:r>
    </w:p>
    <w:p w:rsidR="00CC06EB" w:rsidRPr="00CC06EB" w:rsidRDefault="00DA17F3" w:rsidP="00DA17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CC06EB"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Методический совет и руководство Школы.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Школы создаёт благоприятные условия для эффективной деятельности методического совета. Содействует выполнению его решений, укрепляет его авторитет в педагогическом коллективе. Методический совет оказывает помощь руководству Школы в управлении методической работой, в создании творческой обстановки в педагогическом коллективе.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разногласий между руководством Школы и методическим советом спорный вопрос выносится на педагогический совет, решение которого является окончательным.</w:t>
      </w:r>
    </w:p>
    <w:p w:rsidR="00CC06EB" w:rsidRPr="00CC06EB" w:rsidRDefault="00DA17F3" w:rsidP="00CC06E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="00CC06EB"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Методический совет и педагогический совет.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совет: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досрочно выводит членом методического совета из его состава и проводит довыборы;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основные направления работы методического совета;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и оценивает ежегодный отчёт председателя методического совета о проделанной работе;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на педагогическом совете заслушивается и оценивается выступление членов методического совета об их участии в работе методического совета.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оказывает помощь инициативно-творческим группам при подготовке, проведении педагогических советов и выполнении их решений.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Документация Методического совета.</w:t>
      </w:r>
    </w:p>
    <w:p w:rsidR="00CC06EB" w:rsidRPr="00CC06EB" w:rsidRDefault="00CC06EB" w:rsidP="00CC06EB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регламентации работы Методического совета необходимы следующие документы: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Методическом совете;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Методического совета за прошедший учебный год;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на текущий учебный год;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индивидуальных темах методической работы учителей;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проведения открытых уроков и внеклассных мероприятий;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проведения тематических (предметных) недель;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школьных, районных туров конкурсов и олимпиад;</w:t>
      </w:r>
    </w:p>
    <w:p w:rsidR="00CC06EB" w:rsidRPr="00CC06EB" w:rsidRDefault="00CC06EB" w:rsidP="00CC0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заседаний Методического совета.</w:t>
      </w:r>
    </w:p>
    <w:p w:rsidR="00CC06EB" w:rsidRPr="00CC06EB" w:rsidRDefault="00CC06EB" w:rsidP="00DA17F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составе и организации работы методического совета школы 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оптимальных условий для осуществления методической и инновационной работы МБОУ </w:t>
      </w:r>
      <w:r w:rsidR="00DA17F3"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A17F3"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Карабай-Шемуршинская</w:t>
      </w:r>
      <w:proofErr w:type="spellEnd"/>
      <w:r w:rsidR="00DA17F3"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="00DA17F3"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Шемуршинского</w:t>
      </w:r>
      <w:proofErr w:type="spellEnd"/>
      <w:r w:rsidR="00DA17F3"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</w:t>
      </w:r>
      <w:r w:rsidR="00DA17F3"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021-2022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методического совета школы.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методического совета школы в </w:t>
      </w:r>
      <w:r w:rsid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– </w:t>
      </w:r>
      <w:r w:rsid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Роза Сергеевна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учебно-воспитательной работе.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</w:p>
    <w:p w:rsidR="00CC06EB" w:rsidRPr="00CC06EB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Юрий Федорович</w:t>
      </w:r>
      <w:r w:rsidR="00CC06EB"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школы;</w:t>
      </w:r>
      <w:r w:rsidRP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районного методического объединения учителей ОБЖ и физической культуры, учитель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6EB" w:rsidRPr="00CC06EB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</w:t>
      </w:r>
      <w:r w:rsidR="00CC06EB"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школьного методического объединения учителей начальных классов, учитель высшей категории;</w:t>
      </w:r>
    </w:p>
    <w:p w:rsidR="00CC06EB" w:rsidRPr="00CC06EB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Ирина Геннадьевна</w:t>
      </w:r>
      <w:r w:rsidR="00CC06EB"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информатики</w:t>
      </w:r>
      <w:r w:rsidR="00CC06EB"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высшей квалификационной категории;</w:t>
      </w:r>
    </w:p>
    <w:p w:rsidR="00CC06EB" w:rsidRPr="00CC06EB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="00CC06EB"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школьного методического объединения учителей филологии, учитель первой квалификационной категории.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Методическому совету школы разработать общешкольный план методической работы на </w:t>
      </w:r>
      <w:r w:rsid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до 15 сентября 20</w:t>
      </w:r>
      <w:r w:rsid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директора по учебно-воспитательной работе </w:t>
      </w:r>
      <w:r w:rsidR="00DA1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 Розу Сергеевну</w:t>
      </w: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7F3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F3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F3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F3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F3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F3" w:rsidRDefault="00DA17F3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данных об учителях</w:t>
      </w:r>
    </w:p>
    <w:tbl>
      <w:tblPr>
        <w:tblStyle w:val="aa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1531"/>
        <w:gridCol w:w="926"/>
        <w:gridCol w:w="1198"/>
        <w:gridCol w:w="786"/>
        <w:gridCol w:w="804"/>
        <w:gridCol w:w="851"/>
        <w:gridCol w:w="850"/>
        <w:gridCol w:w="786"/>
        <w:gridCol w:w="915"/>
        <w:gridCol w:w="915"/>
      </w:tblGrid>
      <w:tr w:rsidR="00141893" w:rsidTr="00141893">
        <w:trPr>
          <w:cantSplit/>
          <w:trHeight w:val="1134"/>
        </w:trPr>
        <w:tc>
          <w:tcPr>
            <w:tcW w:w="851" w:type="dxa"/>
          </w:tcPr>
          <w:p w:rsidR="00141893" w:rsidRPr="00CC06EB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141893" w:rsidRPr="00CC06EB" w:rsidRDefault="00141893" w:rsidP="00141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141893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141893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 w:rsidR="00141893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  <w:p w:rsidR="00141893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</w:p>
          <w:p w:rsidR="00141893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звания</w:t>
            </w:r>
          </w:p>
          <w:p w:rsidR="00141893" w:rsidRPr="00CC06EB" w:rsidRDefault="00141893" w:rsidP="00141893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extDirection w:val="btLr"/>
          </w:tcPr>
          <w:p w:rsidR="00141893" w:rsidRPr="00CC06EB" w:rsidRDefault="00141893" w:rsidP="001418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</w:p>
          <w:p w:rsidR="00141893" w:rsidRPr="00CC06EB" w:rsidRDefault="00141893" w:rsidP="001418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893" w:rsidTr="00141893">
        <w:tc>
          <w:tcPr>
            <w:tcW w:w="851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893" w:rsidTr="00141893">
        <w:tc>
          <w:tcPr>
            <w:tcW w:w="851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141893" w:rsidRDefault="00141893" w:rsidP="00DA17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EB" w:rsidRPr="00CC06EB" w:rsidRDefault="00CC06EB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A8" w:rsidRPr="00DA17F3" w:rsidRDefault="00E003A8" w:rsidP="00DA1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03A8" w:rsidRPr="00DA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FE8"/>
    <w:multiLevelType w:val="multilevel"/>
    <w:tmpl w:val="8C30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D0A50"/>
    <w:multiLevelType w:val="multilevel"/>
    <w:tmpl w:val="8BF6076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235630"/>
    <w:multiLevelType w:val="multilevel"/>
    <w:tmpl w:val="744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111C5"/>
    <w:multiLevelType w:val="multilevel"/>
    <w:tmpl w:val="B34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87741"/>
    <w:multiLevelType w:val="multilevel"/>
    <w:tmpl w:val="887C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73F8C"/>
    <w:multiLevelType w:val="multilevel"/>
    <w:tmpl w:val="202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D61D1"/>
    <w:multiLevelType w:val="multilevel"/>
    <w:tmpl w:val="BBA0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20CF5"/>
    <w:multiLevelType w:val="multilevel"/>
    <w:tmpl w:val="6F7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97AD3"/>
    <w:multiLevelType w:val="multilevel"/>
    <w:tmpl w:val="6D6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30248"/>
    <w:multiLevelType w:val="multilevel"/>
    <w:tmpl w:val="430CB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D769D"/>
    <w:multiLevelType w:val="multilevel"/>
    <w:tmpl w:val="7BD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D7163"/>
    <w:multiLevelType w:val="multilevel"/>
    <w:tmpl w:val="6C72E5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A534A28"/>
    <w:multiLevelType w:val="multilevel"/>
    <w:tmpl w:val="623ADD40"/>
    <w:lvl w:ilvl="0">
      <w:start w:val="3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righ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3">
    <w:nsid w:val="44C5700F"/>
    <w:multiLevelType w:val="multilevel"/>
    <w:tmpl w:val="99B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075AB"/>
    <w:multiLevelType w:val="multilevel"/>
    <w:tmpl w:val="EAB6D718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491D13B1"/>
    <w:multiLevelType w:val="multilevel"/>
    <w:tmpl w:val="2C4CA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71C86"/>
    <w:multiLevelType w:val="multilevel"/>
    <w:tmpl w:val="D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263A9"/>
    <w:multiLevelType w:val="multilevel"/>
    <w:tmpl w:val="16C60B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7B8084B"/>
    <w:multiLevelType w:val="multilevel"/>
    <w:tmpl w:val="8668A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14E326B"/>
    <w:multiLevelType w:val="multilevel"/>
    <w:tmpl w:val="F3E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61FB5"/>
    <w:multiLevelType w:val="multilevel"/>
    <w:tmpl w:val="2DD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AD5A4D"/>
    <w:multiLevelType w:val="multilevel"/>
    <w:tmpl w:val="035A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52E99"/>
    <w:multiLevelType w:val="multilevel"/>
    <w:tmpl w:val="DB28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B56D4"/>
    <w:multiLevelType w:val="multilevel"/>
    <w:tmpl w:val="81AE5A0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A8F2432"/>
    <w:multiLevelType w:val="multilevel"/>
    <w:tmpl w:val="99C80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E6775"/>
    <w:multiLevelType w:val="multilevel"/>
    <w:tmpl w:val="69BE3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57CAE"/>
    <w:multiLevelType w:val="multilevel"/>
    <w:tmpl w:val="CDE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CB710B"/>
    <w:multiLevelType w:val="multilevel"/>
    <w:tmpl w:val="1BEA37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8"/>
  </w:num>
  <w:num w:numId="5">
    <w:abstractNumId w:val="19"/>
  </w:num>
  <w:num w:numId="6">
    <w:abstractNumId w:val="3"/>
  </w:num>
  <w:num w:numId="7">
    <w:abstractNumId w:val="20"/>
  </w:num>
  <w:num w:numId="8">
    <w:abstractNumId w:val="0"/>
  </w:num>
  <w:num w:numId="9">
    <w:abstractNumId w:val="26"/>
  </w:num>
  <w:num w:numId="10">
    <w:abstractNumId w:val="21"/>
  </w:num>
  <w:num w:numId="11">
    <w:abstractNumId w:val="25"/>
  </w:num>
  <w:num w:numId="12">
    <w:abstractNumId w:val="7"/>
  </w:num>
  <w:num w:numId="13">
    <w:abstractNumId w:val="2"/>
  </w:num>
  <w:num w:numId="14">
    <w:abstractNumId w:val="27"/>
  </w:num>
  <w:num w:numId="15">
    <w:abstractNumId w:val="5"/>
  </w:num>
  <w:num w:numId="16">
    <w:abstractNumId w:val="17"/>
  </w:num>
  <w:num w:numId="17">
    <w:abstractNumId w:val="18"/>
  </w:num>
  <w:num w:numId="18">
    <w:abstractNumId w:val="13"/>
  </w:num>
  <w:num w:numId="19">
    <w:abstractNumId w:val="12"/>
  </w:num>
  <w:num w:numId="20">
    <w:abstractNumId w:val="10"/>
  </w:num>
  <w:num w:numId="21">
    <w:abstractNumId w:val="4"/>
  </w:num>
  <w:num w:numId="22">
    <w:abstractNumId w:val="1"/>
  </w:num>
  <w:num w:numId="23">
    <w:abstractNumId w:val="23"/>
  </w:num>
  <w:num w:numId="24">
    <w:abstractNumId w:val="14"/>
  </w:num>
  <w:num w:numId="25">
    <w:abstractNumId w:val="11"/>
  </w:num>
  <w:num w:numId="26">
    <w:abstractNumId w:val="6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EB"/>
    <w:rsid w:val="00141893"/>
    <w:rsid w:val="00276DA6"/>
    <w:rsid w:val="00CC06EB"/>
    <w:rsid w:val="00DA17F3"/>
    <w:rsid w:val="00E0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A6"/>
  </w:style>
  <w:style w:type="paragraph" w:styleId="1">
    <w:name w:val="heading 1"/>
    <w:basedOn w:val="a"/>
    <w:next w:val="a"/>
    <w:link w:val="10"/>
    <w:qFormat/>
    <w:rsid w:val="00276D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76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276D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next w:val="a3"/>
    <w:uiPriority w:val="1"/>
    <w:qFormat/>
    <w:rsid w:val="00276DA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276D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276DA6"/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76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qFormat/>
    <w:rsid w:val="00276D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76DA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Strong"/>
    <w:qFormat/>
    <w:rsid w:val="00276DA6"/>
    <w:rPr>
      <w:b/>
      <w:bCs/>
    </w:rPr>
  </w:style>
  <w:style w:type="paragraph" w:styleId="a7">
    <w:name w:val="List Paragraph"/>
    <w:basedOn w:val="a"/>
    <w:uiPriority w:val="34"/>
    <w:qFormat/>
    <w:rsid w:val="00276DA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6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A6"/>
  </w:style>
  <w:style w:type="paragraph" w:styleId="1">
    <w:name w:val="heading 1"/>
    <w:basedOn w:val="a"/>
    <w:next w:val="a"/>
    <w:link w:val="10"/>
    <w:qFormat/>
    <w:rsid w:val="00276D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76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276D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next w:val="a3"/>
    <w:uiPriority w:val="1"/>
    <w:qFormat/>
    <w:rsid w:val="00276DA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276D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276DA6"/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76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qFormat/>
    <w:rsid w:val="00276D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76DA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Strong"/>
    <w:qFormat/>
    <w:rsid w:val="00276DA6"/>
    <w:rPr>
      <w:b/>
      <w:bCs/>
    </w:rPr>
  </w:style>
  <w:style w:type="paragraph" w:styleId="a7">
    <w:name w:val="List Paragraph"/>
    <w:basedOn w:val="a"/>
    <w:uiPriority w:val="34"/>
    <w:qFormat/>
    <w:rsid w:val="00276DA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6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3265</Words>
  <Characters>18612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Основные формы работы методического совета:</vt:lpstr>
      <vt:lpstr>Права методического совета.</vt:lpstr>
      <vt:lpstr>Контроль деятельности методического совета.</vt:lpstr>
      <vt:lpstr>Взаимодействие методического совета Школы с органами внутришкольного управления.</vt:lpstr>
      <vt:lpstr>а) Методический совет и руководство Школы.</vt:lpstr>
      <vt:lpstr>    б) Методический совет и педагогический совет.</vt:lpstr>
      <vt:lpstr>Документация Методического совета.</vt:lpstr>
    </vt:vector>
  </TitlesOfParts>
  <Company/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2022-04-05T09:21:00Z</dcterms:created>
  <dcterms:modified xsi:type="dcterms:W3CDTF">2022-04-05T09:45:00Z</dcterms:modified>
</cp:coreProperties>
</file>