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AC" w:rsidRPr="002F4FAC" w:rsidRDefault="002F4FAC" w:rsidP="002F4FAC">
      <w:pPr>
        <w:spacing w:after="130" w:line="441" w:lineRule="atLeast"/>
        <w:outlineLvl w:val="0"/>
        <w:rPr>
          <w:rFonts w:ascii="Calibri" w:eastAsia="Times New Roman" w:hAnsi="Calibri" w:cs="Arial"/>
          <w:color w:val="262626"/>
          <w:kern w:val="36"/>
          <w:sz w:val="39"/>
          <w:szCs w:val="39"/>
          <w:lang w:eastAsia="ru-RU"/>
        </w:rPr>
      </w:pPr>
      <w:r w:rsidRPr="002F4FAC">
        <w:rPr>
          <w:rFonts w:ascii="Calibri" w:eastAsia="Times New Roman" w:hAnsi="Calibri" w:cs="Arial"/>
          <w:color w:val="262626"/>
          <w:kern w:val="36"/>
          <w:sz w:val="39"/>
          <w:szCs w:val="39"/>
          <w:lang w:eastAsia="ru-RU"/>
        </w:rPr>
        <w:t>Профилактика терроризма</w:t>
      </w:r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4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Телефоны доверия для обращения граждан по фактам проявлений терроризма и угрозам совершения террористических актов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5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Общегосударственная система противодействия терроризму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6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Национальный антитеррористический комитет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7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Национальный центр информационного противодействия терроризму и экстремизму в образовательной среде и сети Интернет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8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Нормативные правовые акты в сфере противодействия терроризму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9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Антитеррористическая комиссия в Чувашской Республике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10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Действия населения при установлении уровней террористической опасности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11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Об ответственности за несоблюдение требований законодательства в сфере противодействия терроризму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12" w:tgtFrame="_self" w:history="1">
        <w:r w:rsidRPr="002F4FAC">
          <w:rPr>
            <w:rFonts w:ascii="Arial" w:eastAsia="Times New Roman" w:hAnsi="Arial" w:cs="Arial"/>
            <w:color w:val="BF151E"/>
            <w:sz w:val="21"/>
            <w:lang w:eastAsia="ru-RU"/>
          </w:rPr>
          <w:t>Методический инструментарий по вопросам профилактики терроризма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13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Информационные материалы антитеррористической направленности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14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Официальные государственные сайты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15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Сайты по профилактике терроризма и экстремизма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16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Портал детской безопасности МЧС России «СПАС ЭКСТРИМ»</w:t>
        </w:r>
      </w:hyperlink>
    </w:p>
    <w:p w:rsidR="002F4FAC" w:rsidRPr="002F4FAC" w:rsidRDefault="002F4FAC" w:rsidP="002F4FAC">
      <w:pPr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F4FA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</w:t>
      </w:r>
      <w:hyperlink r:id="rId17" w:tgtFrame="_self" w:history="1">
        <w:r w:rsidRPr="002F4FAC">
          <w:rPr>
            <w:rFonts w:ascii="Arial" w:eastAsia="Times New Roman" w:hAnsi="Arial" w:cs="Arial"/>
            <w:color w:val="BF151E"/>
            <w:sz w:val="21"/>
            <w:u w:val="single"/>
            <w:lang w:eastAsia="ru-RU"/>
          </w:rPr>
          <w:t>Хроника, публикации</w:t>
        </w:r>
      </w:hyperlink>
    </w:p>
    <w:p w:rsidR="006D123F" w:rsidRDefault="006D123F"/>
    <w:sectPr w:rsidR="006D123F" w:rsidSect="0027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4FAC"/>
    <w:rsid w:val="00276088"/>
    <w:rsid w:val="002F4FAC"/>
    <w:rsid w:val="004E480F"/>
    <w:rsid w:val="006D123F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88"/>
  </w:style>
  <w:style w:type="paragraph" w:styleId="1">
    <w:name w:val="heading 1"/>
    <w:basedOn w:val="a"/>
    <w:link w:val="10"/>
    <w:uiPriority w:val="9"/>
    <w:qFormat/>
    <w:rsid w:val="002F4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4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2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645">
                  <w:marLeft w:val="0"/>
                  <w:marRight w:val="0"/>
                  <w:marTop w:val="195"/>
                  <w:marBottom w:val="259"/>
                  <w:divBdr>
                    <w:top w:val="none" w:sz="0" w:space="0" w:color="auto"/>
                    <w:left w:val="none" w:sz="0" w:space="0" w:color="auto"/>
                    <w:bottom w:val="single" w:sz="4" w:space="7" w:color="E6E6E6"/>
                    <w:right w:val="none" w:sz="0" w:space="0" w:color="auto"/>
                  </w:divBdr>
                  <w:divsChild>
                    <w:div w:id="1632443032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3127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973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5117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6471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185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337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2903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6591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3241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240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645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260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8737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va.cap.ru/koordinacionnie-i-soveschateljnie-organi/coordination-and-advisory-bodies/5698/antiterroristicheskaya-komissiya-v-chuvashskoj-res/profilaktika-terrorizma/normativnie-pravovie-akti-v-sfere-protivodejstviya" TargetMode="External"/><Relationship Id="rId13" Type="http://schemas.openxmlformats.org/officeDocument/2006/relationships/hyperlink" Target="https://glava.cap.ru/koordinacionnie-i-soveschateljnie-organi/coordination-and-advisory-bodies/5698/antiterroristicheskaya-komissiya-v-chuvashskoj-res/profilaktika-terrorizma/informacionnie-materiali-antiterroristicheskoj-nap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ava.cap.ru/koordinacionnie-i-soveschateljnie-organi/coordination-and-advisory-bodies/5698/antiterroristicheskaya-komissiya-v-chuvashskoj-res/profilaktika-terrorizma/nacionaljnij-centr-informacionnogo-protivodejstviy" TargetMode="External"/><Relationship Id="rId12" Type="http://schemas.openxmlformats.org/officeDocument/2006/relationships/hyperlink" Target="https://glava.cap.ru/koordinacionnie-i-soveschateljnie-organi/coordination-and-advisory-bodies/5698/antiterroristicheskaya-komissiya-v-chuvashskoj-res/profilaktika-terrorizma/metodicheskij-instrumentarij-po-voprosam-profilakti" TargetMode="External"/><Relationship Id="rId17" Type="http://schemas.openxmlformats.org/officeDocument/2006/relationships/hyperlink" Target="https://glava.cap.ru/koordinacionnie-i-soveschateljnie-organi/coordination-and-advisory-bodies/5698/antiterroristicheskaya-komissiya-v-chuvashskoj-res/profilaktika-terrorizma/hronika-publikac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ava.cap.ru/koordinacionnie-i-soveschateljnie-organi/coordination-and-advisory-bodies/5698/antiterroristicheskaya-komissiya-v-chuvashskoj-res/profilaktika-terrorizma/portal-detskoj-bezopasnosti-mchs-rossii-spas-ekstr" TargetMode="External"/><Relationship Id="rId1" Type="http://schemas.openxmlformats.org/officeDocument/2006/relationships/styles" Target="styles.xml"/><Relationship Id="rId6" Type="http://schemas.openxmlformats.org/officeDocument/2006/relationships/hyperlink" Target="https://glava.cap.ru/koordinacionnie-i-soveschateljnie-organi/coordination-and-advisory-bodies/5698/antiterroristicheskaya-komissiya-v-chuvashskoj-res/profilaktika-terrorizma/nacionaljnij-antiterroristicheskij-komitet" TargetMode="External"/><Relationship Id="rId11" Type="http://schemas.openxmlformats.org/officeDocument/2006/relationships/hyperlink" Target="https://glava.cap.ru/koordinacionnie-i-soveschateljnie-organi/coordination-and-advisory-bodies/5698/antiterroristicheskaya-komissiya-v-chuvashskoj-res/profilaktika-terrorizma/ob-otvetstvennosti-za-nesoblyudenie-trebovanij-zako" TargetMode="External"/><Relationship Id="rId5" Type="http://schemas.openxmlformats.org/officeDocument/2006/relationships/hyperlink" Target="https://glava.cap.ru/koordinacionnie-i-soveschateljnie-organi/coordination-and-advisory-bodies/5698/antiterroristicheskaya-komissiya-v-chuvashskoj-res/profilaktika-terrorizma/obschegosudarstvennaya-sistema-protivodejstviya-te" TargetMode="External"/><Relationship Id="rId15" Type="http://schemas.openxmlformats.org/officeDocument/2006/relationships/hyperlink" Target="https://glava.cap.ru/koordinacionnie-i-soveschateljnie-organi/coordination-and-advisory-bodies/5698/antiterroristicheskaya-komissiya-v-chuvashskoj-res/profilaktika-terrorizma/sajti-po-profilaktike-terrorizma-i-ekstremizma" TargetMode="External"/><Relationship Id="rId10" Type="http://schemas.openxmlformats.org/officeDocument/2006/relationships/hyperlink" Target="https://glava.cap.ru/koordinacionnie-i-soveschateljnie-organi/coordination-and-advisory-bodies/5698/antiterroristicheskaya-komissiya-v-chuvashskoj-res/profilaktika-terrorizma/dejstviya-naseleniya-pri-ustanovlenii-urovnej-terro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lava.cap.ru/koordinacionnie-i-soveschateljnie-organi/coordination-and-advisory-bodies/5698/antiterroristicheskaya-komissiya-v-chuvashskoj-res/profilaktika-terrorizma/telefoni-doveriya-dlya-obrascheniya-grazhdan-po-faktam-p" TargetMode="External"/><Relationship Id="rId9" Type="http://schemas.openxmlformats.org/officeDocument/2006/relationships/hyperlink" Target="https://glava.cap.ru/koordinacionnie-i-soveschateljnie-organi/coordination-and-advisory-bodies/5698/antiterroristicheskaya-komissiya-v-chuvashskoj-res/profilaktika-terrorizma/antiterroristicheskaya-komissiya-v-chuvashskoj-respubli" TargetMode="External"/><Relationship Id="rId14" Type="http://schemas.openxmlformats.org/officeDocument/2006/relationships/hyperlink" Target="https://glava.cap.ru/koordinacionnie-i-soveschateljnie-organi/coordination-and-advisory-bodies/5698/antiterroristicheskaya-komissiya-v-chuvashskoj-res/profilaktika-terrorizma/oficialjnie-gosudarstvennie-saj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2021-12-20T02:09:00Z</dcterms:created>
  <dcterms:modified xsi:type="dcterms:W3CDTF">2021-12-20T02:09:00Z</dcterms:modified>
</cp:coreProperties>
</file>