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E45B7C" w:rsidRPr="00104CF1" w:rsidRDefault="004370C2">
      <w:pPr>
        <w:spacing w:after="0" w:line="240" w:lineRule="auto"/>
        <w:jc w:val="center"/>
        <w:rPr>
          <w:rStyle w:val="a5"/>
        </w:rPr>
      </w:pPr>
      <w:r>
        <w:rPr>
          <w:rStyle w:val="a5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711pt" o:ole="">
            <v:imagedata r:id="rId8" o:title=""/>
          </v:shape>
          <o:OLEObject Type="Embed" ProgID="FoxitReader.Document" ShapeID="_x0000_i1025" DrawAspect="Content" ObjectID="_1700309783" r:id="rId9"/>
        </w:object>
      </w: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526" w:rsidRDefault="00496526" w:rsidP="00496526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6526" w:rsidRDefault="00496526" w:rsidP="00496526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C6374" w:rsidRDefault="00496526" w:rsidP="004965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2613">
        <w:rPr>
          <w:rFonts w:ascii="Times New Roman" w:hAnsi="Times New Roman"/>
          <w:bCs/>
          <w:sz w:val="24"/>
          <w:szCs w:val="24"/>
          <w:lang w:eastAsia="ru-RU"/>
        </w:rPr>
        <w:t xml:space="preserve">Составитель – преподаватель  МБУ ДО «Красноармейская ДШИ»   </w:t>
      </w:r>
      <w:r w:rsidR="00544262">
        <w:rPr>
          <w:rFonts w:ascii="Times New Roman" w:hAnsi="Times New Roman"/>
          <w:bCs/>
          <w:sz w:val="24"/>
          <w:szCs w:val="24"/>
          <w:lang w:eastAsia="ru-RU"/>
        </w:rPr>
        <w:t>Т. П. Афанасьева</w:t>
      </w: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учебного предмета «Композиция ст</w:t>
      </w:r>
      <w:r w:rsidR="00544262">
        <w:rPr>
          <w:rFonts w:ascii="Times New Roman" w:hAnsi="Times New Roman"/>
          <w:sz w:val="28"/>
          <w:szCs w:val="28"/>
        </w:rPr>
        <w:t>анковая» составляет 5 лет: при 8</w:t>
      </w:r>
      <w:r>
        <w:rPr>
          <w:rFonts w:ascii="Times New Roman" w:hAnsi="Times New Roman"/>
          <w:sz w:val="28"/>
          <w:szCs w:val="28"/>
        </w:rPr>
        <w:t>-летней дополнительной предпрофессиональной общеобразовател</w:t>
      </w:r>
      <w:r w:rsidR="00544262">
        <w:rPr>
          <w:rFonts w:ascii="Times New Roman" w:hAnsi="Times New Roman"/>
          <w:sz w:val="28"/>
          <w:szCs w:val="28"/>
        </w:rPr>
        <w:t>ьной</w:t>
      </w:r>
      <w:r w:rsidR="00421768">
        <w:rPr>
          <w:rFonts w:ascii="Times New Roman" w:hAnsi="Times New Roman"/>
          <w:sz w:val="28"/>
          <w:szCs w:val="28"/>
        </w:rPr>
        <w:t xml:space="preserve"> программе «Живопись</w:t>
      </w:r>
      <w:r w:rsidR="00544262">
        <w:rPr>
          <w:rFonts w:ascii="Times New Roman" w:hAnsi="Times New Roman"/>
          <w:sz w:val="28"/>
          <w:szCs w:val="28"/>
        </w:rPr>
        <w:t>» - с 4 по 8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="004965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</w:t>
      </w:r>
      <w:r w:rsidR="00421768">
        <w:rPr>
          <w:rFonts w:ascii="Times New Roman" w:hAnsi="Times New Roman"/>
          <w:sz w:val="28"/>
        </w:rPr>
        <w:t>та «Композиция станковая»  при 5</w:t>
      </w:r>
      <w:r>
        <w:rPr>
          <w:rFonts w:ascii="Times New Roman" w:hAnsi="Times New Roman"/>
          <w:sz w:val="28"/>
        </w:rPr>
        <w:t>-летнем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4262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</w:t>
      </w:r>
      <w:r w:rsidR="00544262">
        <w:rPr>
          <w:rFonts w:ascii="Times New Roman" w:hAnsi="Times New Roman"/>
          <w:sz w:val="28"/>
          <w:szCs w:val="28"/>
        </w:rPr>
        <w:t xml:space="preserve">вательной программы «Композиция станковая» </w:t>
      </w:r>
    </w:p>
    <w:p w:rsidR="007D79A3" w:rsidRDefault="007D79A3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4262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54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5442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4 - 7</w:t>
      </w:r>
      <w:r w:rsidR="007D79A3">
        <w:rPr>
          <w:rFonts w:ascii="Times New Roman" w:hAnsi="Times New Roman"/>
          <w:sz w:val="28"/>
          <w:szCs w:val="28"/>
        </w:rPr>
        <w:t xml:space="preserve"> классы – 2 часа</w:t>
      </w:r>
    </w:p>
    <w:p w:rsidR="007D79A3" w:rsidRDefault="00496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4262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- </w:t>
      </w:r>
      <w:r w:rsidR="007D79A3">
        <w:rPr>
          <w:rFonts w:ascii="Times New Roman" w:hAnsi="Times New Roman"/>
          <w:sz w:val="28"/>
          <w:szCs w:val="28"/>
        </w:rPr>
        <w:t xml:space="preserve"> класс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5442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6</w:t>
      </w:r>
      <w:r w:rsidR="007D79A3">
        <w:rPr>
          <w:rFonts w:ascii="Times New Roman" w:hAnsi="Times New Roman"/>
          <w:sz w:val="28"/>
          <w:szCs w:val="28"/>
        </w:rPr>
        <w:t xml:space="preserve"> классы – 3 часа</w:t>
      </w:r>
    </w:p>
    <w:p w:rsidR="007D79A3" w:rsidRDefault="005442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8</w:t>
      </w:r>
      <w:r w:rsidR="007D79A3">
        <w:rPr>
          <w:rFonts w:ascii="Times New Roman" w:hAnsi="Times New Roman"/>
          <w:sz w:val="28"/>
          <w:szCs w:val="28"/>
        </w:rPr>
        <w:t xml:space="preserve">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предпрофессиональной программы являются наиболее продуктивными при реализации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ные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421768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(комплиментарные, оппонентные).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421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Однофигурная, двухфигурная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Монокомпозиция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421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421768" w:rsidP="0042176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79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421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>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421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D79A3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(комплиментарные, оппонентные).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теплохолодности»,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выкрасок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Боттичелли «Оплакивание»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Салтане»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>ет с двумя-тремя фигурами, двух</w:t>
      </w:r>
      <w:r>
        <w:rPr>
          <w:rFonts w:ascii="Times New Roman" w:hAnsi="Times New Roman"/>
          <w:color w:val="000000"/>
          <w:sz w:val="28"/>
          <w:szCs w:val="28"/>
        </w:rPr>
        <w:t>плановое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>тто «Тайная вечеря», И.Е. Репин «Не ждали», А.А. Дейнека, Г.С. Верейский,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Монокомпозиция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пятновой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эскиз натюрморта с пятновой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>ным цветотональным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Калиныч»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Однофигурная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Пиранези.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r w:rsidR="00496526">
        <w:rPr>
          <w:rFonts w:ascii="Times New Roman" w:hAnsi="Times New Roman"/>
          <w:sz w:val="28"/>
          <w:szCs w:val="28"/>
        </w:rPr>
        <w:t>От рисовка</w:t>
      </w:r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целостности цветотонального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колористически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</w:t>
      </w:r>
      <w:r>
        <w:rPr>
          <w:rFonts w:ascii="Times New Roman" w:hAnsi="Times New Roman"/>
          <w:sz w:val="28"/>
          <w:szCs w:val="28"/>
        </w:rPr>
        <w:lastRenderedPageBreak/>
        <w:t>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Тональные форэскизы.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по цветоведению,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цветотональных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по цветоведению;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Арнхейм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Претте М.К., Капальдо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Кисляковская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Кибрик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Алямовская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Шицгал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«Владос»,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>ая композиция. М.: Владос,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7D79A3" w:rsidSect="00C7207C">
      <w:footerReference w:type="default" r:id="rId10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FE" w:rsidRDefault="00F75AFE">
      <w:r>
        <w:separator/>
      </w:r>
    </w:p>
  </w:endnote>
  <w:endnote w:type="continuationSeparator" w:id="0">
    <w:p w:rsidR="00F75AFE" w:rsidRDefault="00F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A315AE" w:rsidRDefault="00D75B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5AE" w:rsidRDefault="00A315A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FE" w:rsidRDefault="00F75AFE">
      <w:r>
        <w:separator/>
      </w:r>
    </w:p>
  </w:footnote>
  <w:footnote w:type="continuationSeparator" w:id="0">
    <w:p w:rsidR="00F75AFE" w:rsidRDefault="00F7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A3"/>
    <w:rsid w:val="000264D6"/>
    <w:rsid w:val="00031007"/>
    <w:rsid w:val="00052437"/>
    <w:rsid w:val="000712FC"/>
    <w:rsid w:val="0009117E"/>
    <w:rsid w:val="000C2CFE"/>
    <w:rsid w:val="000C3ED7"/>
    <w:rsid w:val="000D7919"/>
    <w:rsid w:val="000E41B7"/>
    <w:rsid w:val="00104CF1"/>
    <w:rsid w:val="001264B9"/>
    <w:rsid w:val="00191DE5"/>
    <w:rsid w:val="001B5B6F"/>
    <w:rsid w:val="001C6DB6"/>
    <w:rsid w:val="001E1585"/>
    <w:rsid w:val="001E4378"/>
    <w:rsid w:val="001E6066"/>
    <w:rsid w:val="001F0E48"/>
    <w:rsid w:val="002600F0"/>
    <w:rsid w:val="00314AC6"/>
    <w:rsid w:val="00361B70"/>
    <w:rsid w:val="00394F0A"/>
    <w:rsid w:val="003B15CC"/>
    <w:rsid w:val="003B3762"/>
    <w:rsid w:val="003D39CF"/>
    <w:rsid w:val="004049B0"/>
    <w:rsid w:val="00421768"/>
    <w:rsid w:val="004370C2"/>
    <w:rsid w:val="004657AE"/>
    <w:rsid w:val="004658D6"/>
    <w:rsid w:val="00496526"/>
    <w:rsid w:val="004C0BF7"/>
    <w:rsid w:val="004D1BC5"/>
    <w:rsid w:val="00544262"/>
    <w:rsid w:val="00552B6C"/>
    <w:rsid w:val="005664E2"/>
    <w:rsid w:val="005A6F43"/>
    <w:rsid w:val="005C0533"/>
    <w:rsid w:val="00632E74"/>
    <w:rsid w:val="00657255"/>
    <w:rsid w:val="006609EB"/>
    <w:rsid w:val="00662E87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6F5E"/>
    <w:rsid w:val="008B2328"/>
    <w:rsid w:val="008E563B"/>
    <w:rsid w:val="008F231A"/>
    <w:rsid w:val="0094239D"/>
    <w:rsid w:val="00944873"/>
    <w:rsid w:val="00945FA0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04655"/>
    <w:rsid w:val="00B10DFD"/>
    <w:rsid w:val="00B13AC6"/>
    <w:rsid w:val="00B32E31"/>
    <w:rsid w:val="00B36F91"/>
    <w:rsid w:val="00B96F8C"/>
    <w:rsid w:val="00BA27A9"/>
    <w:rsid w:val="00BB4098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A1E01"/>
    <w:rsid w:val="00CC3CD4"/>
    <w:rsid w:val="00CF20ED"/>
    <w:rsid w:val="00D32084"/>
    <w:rsid w:val="00D723CB"/>
    <w:rsid w:val="00D75B00"/>
    <w:rsid w:val="00DD4C17"/>
    <w:rsid w:val="00E45B7C"/>
    <w:rsid w:val="00E6231C"/>
    <w:rsid w:val="00EA3A1C"/>
    <w:rsid w:val="00ED14F4"/>
    <w:rsid w:val="00EE5D45"/>
    <w:rsid w:val="00EF2A59"/>
    <w:rsid w:val="00F067ED"/>
    <w:rsid w:val="00F174ED"/>
    <w:rsid w:val="00F42436"/>
    <w:rsid w:val="00F601B6"/>
    <w:rsid w:val="00F75AFE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0C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C3ED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0C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C3ED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44668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Сергей</cp:lastModifiedBy>
  <cp:revision>2</cp:revision>
  <cp:lastPrinted>2020-11-09T06:10:00Z</cp:lastPrinted>
  <dcterms:created xsi:type="dcterms:W3CDTF">2021-12-06T12:30:00Z</dcterms:created>
  <dcterms:modified xsi:type="dcterms:W3CDTF">2021-12-06T12:30:00Z</dcterms:modified>
</cp:coreProperties>
</file>