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9D" w:rsidRDefault="00746D9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46D9D" w:rsidRDefault="00746D9D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46D9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6D9D" w:rsidRDefault="00746D9D">
            <w:pPr>
              <w:pStyle w:val="ConsPlusNormal"/>
            </w:pPr>
            <w:r>
              <w:t>7 мая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6D9D" w:rsidRDefault="00746D9D">
            <w:pPr>
              <w:pStyle w:val="ConsPlusNormal"/>
              <w:jc w:val="right"/>
            </w:pPr>
            <w:r>
              <w:t>N 204</w:t>
            </w:r>
          </w:p>
        </w:tc>
      </w:tr>
    </w:tbl>
    <w:p w:rsidR="00746D9D" w:rsidRDefault="00746D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6D9D" w:rsidRDefault="00746D9D">
      <w:pPr>
        <w:pStyle w:val="ConsPlusNormal"/>
        <w:jc w:val="both"/>
      </w:pPr>
    </w:p>
    <w:p w:rsidR="00746D9D" w:rsidRDefault="00746D9D">
      <w:pPr>
        <w:pStyle w:val="ConsPlusTitle"/>
        <w:jc w:val="center"/>
      </w:pPr>
      <w:r>
        <w:t>УКАЗ</w:t>
      </w:r>
    </w:p>
    <w:p w:rsidR="00746D9D" w:rsidRDefault="00746D9D">
      <w:pPr>
        <w:pStyle w:val="ConsPlusTitle"/>
        <w:jc w:val="both"/>
      </w:pPr>
    </w:p>
    <w:p w:rsidR="00746D9D" w:rsidRDefault="00746D9D">
      <w:pPr>
        <w:pStyle w:val="ConsPlusTitle"/>
        <w:jc w:val="center"/>
      </w:pPr>
      <w:r>
        <w:t>ПРЕЗИДЕНТА РОССИЙСКОЙ ФЕДЕРАЦИИ</w:t>
      </w:r>
    </w:p>
    <w:p w:rsidR="00746D9D" w:rsidRDefault="00746D9D">
      <w:pPr>
        <w:pStyle w:val="ConsPlusTitle"/>
        <w:jc w:val="both"/>
      </w:pPr>
    </w:p>
    <w:p w:rsidR="00746D9D" w:rsidRDefault="00746D9D">
      <w:pPr>
        <w:pStyle w:val="ConsPlusTitle"/>
        <w:jc w:val="center"/>
      </w:pPr>
      <w:r>
        <w:t>О НАЦИОНАЛЬНЫХ ЦЕЛЯХ И СТРАТЕГИЧЕСКИХ ЗАДАЧАХ</w:t>
      </w:r>
    </w:p>
    <w:p w:rsidR="00746D9D" w:rsidRDefault="00746D9D">
      <w:pPr>
        <w:pStyle w:val="ConsPlusTitle"/>
        <w:jc w:val="center"/>
      </w:pPr>
      <w:r>
        <w:t>РАЗВИТИЯ РОССИЙСКОЙ ФЕДЕРАЦИИ НА ПЕРИОД ДО 2024 ГОДА</w:t>
      </w:r>
    </w:p>
    <w:p w:rsidR="00746D9D" w:rsidRDefault="00746D9D">
      <w:pPr>
        <w:pStyle w:val="ConsPlusNormal"/>
        <w:jc w:val="both"/>
      </w:pPr>
    </w:p>
    <w:p w:rsidR="00746D9D" w:rsidRDefault="00746D9D">
      <w:pPr>
        <w:pStyle w:val="ConsPlusNormal"/>
        <w:ind w:firstLine="540"/>
        <w:jc w:val="both"/>
      </w:pPr>
      <w:proofErr w:type="gramStart"/>
      <w:r>
        <w:t>В целях осуществления прорывного научно-технологического и социально-экономического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 постановляю:</w:t>
      </w:r>
      <w:proofErr w:type="gramEnd"/>
    </w:p>
    <w:p w:rsidR="00746D9D" w:rsidRDefault="00746D9D">
      <w:pPr>
        <w:pStyle w:val="ConsPlusNormal"/>
        <w:spacing w:before="220"/>
        <w:ind w:firstLine="540"/>
        <w:jc w:val="both"/>
      </w:pPr>
      <w:bookmarkStart w:id="1" w:name="P12"/>
      <w:bookmarkEnd w:id="1"/>
      <w:r>
        <w:t>1. Правительству Российской Федерации обеспечить достижение следующих национальных целей развития Российской Федерации на период до 2024 года: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а) обеспечение устойчивого естественного роста численности населения Российской Федерации;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б) повышение ожидаемой продолжительности жизни до 78 лет (к 2030 году - до 80 лет);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в) обеспечение устойчивого роста реальных доходов граждан, а также роста уровня пенсионного обеспечения выше уровня инфляции;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г) снижение в два раза уровня бедности в Российской Федерации;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д) улучшение жилищных условий не менее 5 млн. семей ежегодно;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е) ускорение технологического развития Российской Федерации, увеличение количества организаций, осуществляющих технологические инновации, до 50 процентов от их общего числа;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ж) обеспечение ускоренного внедрения цифровых технологий в экономике и социальной сфере;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з) вхождение Российской Федерации в число пяти крупнейших экономик мира, обеспечение темпов экономического роста выше мировых при сохранении макроэкономической стабильности, в том числе инфляции на уровне, не превышающем 4 процентов;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и) создание в базовых </w:t>
      </w:r>
      <w:proofErr w:type="gramStart"/>
      <w:r>
        <w:t>отраслях</w:t>
      </w:r>
      <w:proofErr w:type="gramEnd"/>
      <w:r>
        <w:t xml:space="preserve"> экономики, прежде всего в обрабатывающей промышленности и агропромышленном комплексе, высокопроизводительного </w:t>
      </w:r>
      <w:proofErr w:type="spellStart"/>
      <w:r>
        <w:t>экспортно</w:t>
      </w:r>
      <w:proofErr w:type="spellEnd"/>
      <w:r>
        <w:t xml:space="preserve"> ориентированного сектора, развивающегося на основе современных технологий и обеспеченного высококвалифицированными кадрами.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а) утвердить до 1 октября 2018 г. Основные направления деятельности Правительства Российской Федерации на период до 2024 года и прогноз социально-экономического развития Российской Федерации на период до 2024 года, предусмотрев механизмы и ресурсное обеспечение достижения национальных целей, определенных </w:t>
      </w:r>
      <w:hyperlink w:anchor="P12" w:history="1">
        <w:r>
          <w:rPr>
            <w:color w:val="0000FF"/>
          </w:rPr>
          <w:t>пунктом 1</w:t>
        </w:r>
      </w:hyperlink>
      <w:r>
        <w:t xml:space="preserve"> настоящего Указа;</w:t>
      </w:r>
    </w:p>
    <w:p w:rsidR="00746D9D" w:rsidRDefault="00746D9D">
      <w:pPr>
        <w:pStyle w:val="ConsPlusNormal"/>
        <w:spacing w:before="220"/>
        <w:ind w:firstLine="540"/>
        <w:jc w:val="both"/>
      </w:pPr>
      <w:bookmarkStart w:id="2" w:name="P24"/>
      <w:bookmarkEnd w:id="2"/>
      <w:proofErr w:type="gramStart"/>
      <w:r>
        <w:t xml:space="preserve">б) в соответствии с национальными целями, определенными </w:t>
      </w:r>
      <w:hyperlink w:anchor="P12" w:history="1">
        <w:r>
          <w:rPr>
            <w:color w:val="0000FF"/>
          </w:rPr>
          <w:t>пунктом 1</w:t>
        </w:r>
      </w:hyperlink>
      <w:r>
        <w:t xml:space="preserve"> настоящего Указа, </w:t>
      </w:r>
      <w:r>
        <w:lastRenderedPageBreak/>
        <w:t>разработать (скорректировать) совместно с органами государственной власти субъектов Российской Федерации и представить до 1 октября 2018 г. для рассмотрения на заседании Совета при Президенте Российской Федерации по стратегическому развитию и приоритетным проектам национальные проекты (программы) по следующим направлениям:</w:t>
      </w:r>
      <w:proofErr w:type="gramEnd"/>
    </w:p>
    <w:p w:rsidR="00746D9D" w:rsidRDefault="00746D9D">
      <w:pPr>
        <w:pStyle w:val="ConsPlusNormal"/>
        <w:spacing w:before="220"/>
        <w:ind w:firstLine="540"/>
        <w:jc w:val="both"/>
      </w:pPr>
      <w:r>
        <w:t>демография;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здравоохранение;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образование;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жилье и городская среда;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экология;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безопасные и качественные автомобильные дороги;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производительность труда и поддержка занятости;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наука;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цифровая экономика;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культура;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малое и среднее предпринимательство и поддержка индивидуальной предпринимательской инициативы;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международная кооперация и экспорт.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3. Правительству Российской Федерации при разработке национальной программы в сфере демографического развития исходить из того, что в 2024 году необходимо обеспечить: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увеличение ожидаемой продолжительности здоровой жизни до 67 лет;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увеличение суммарного коэффициента рождаемости до 1,7;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увеличение доли граждан, ведущих здоровый образ жизни, а также увеличение до 55 процентов доли граждан, систематически занимающихся физической культурой и спортом;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внедрение механизма финансовой поддержки семей при рождении детей;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разработка и реализация программы системной поддержки и повышения качества жизни граждан старшего поколения;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формирование системы мотивации граждан к здоровому образу жизни, включая здоровое питание и отказ от вредных привычек;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</w:t>
      </w:r>
      <w:r>
        <w:lastRenderedPageBreak/>
        <w:t>объектами спорта, а также подготовка спортивного резерва.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4. Правительству Российской Федерации при разработке национального проекта в сфере здравоохранения исходить из того, что в 2024 году необходимо обеспечить: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снижение показателей смертности населения трудоспособного возраста (до 350 случаев на 100 тыс. населения), смертности от болезней системы кровообращения (до 450 случаев на 100 тыс. населения), смертности от новообразований, в том числе от злокачественных (до 185 случаев на 100 тыс. населения), младенческой смертности (до 4,5 случая на 1 тыс. родившихся детей);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ликвидация кадрового дефицита в медицинских </w:t>
      </w:r>
      <w:proofErr w:type="gramStart"/>
      <w:r>
        <w:t>организациях</w:t>
      </w:r>
      <w:proofErr w:type="gramEnd"/>
      <w:r>
        <w:t>, оказывающих первичную медико-санитарную помощь;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обеспечение охвата всех граждан профилактическими медицинскими осмотрами не реже одного раза в год;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увеличение объема экспорта медицинских услуг не менее чем в четыре раза по сравнению с 2017 годом (до 1 млрд. долларов США в год);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746D9D" w:rsidRDefault="00746D9D">
      <w:pPr>
        <w:pStyle w:val="ConsPlusNormal"/>
        <w:spacing w:before="220"/>
        <w:ind w:firstLine="540"/>
        <w:jc w:val="both"/>
      </w:pPr>
      <w:proofErr w:type="gramStart"/>
      <w:r>
        <w:t>завершение формирования сети медицинских организаций первичного звена здравоохранения с использованием в сфере здравоохранения геоинформационной системы с учетом необходимости строительства врачебных амбулаторий, фельдшерских и фельдшерско-акушерских пунктов в населенных пунктах с численностью населения от 100 человек до 2 тыс. человек, а также с учетом использования мобильных медицинских комплексов в населенных пунктах с численностью населения менее 100 человек;</w:t>
      </w:r>
      <w:proofErr w:type="gramEnd"/>
    </w:p>
    <w:p w:rsidR="00746D9D" w:rsidRDefault="00746D9D">
      <w:pPr>
        <w:pStyle w:val="ConsPlusNormal"/>
        <w:spacing w:before="220"/>
        <w:ind w:firstLine="540"/>
        <w:jc w:val="both"/>
      </w:pPr>
      <w:r>
        <w:t>завершение формирования сети национальных медицинских исследовательских центров;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механизмов взаимодействия медицинских организаций на основе единой государственной информационной системы в сфере здравоохранения;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внедрение инновационных медицинских технологий, включая систему ранней диагностики и дистанционный мониторинг состояния здоровья пациентов;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обеспечение медицинских организаций системы здравоохранения квалифицированными кадрами, включая внедрение системы непрерывного образования медицинских работников, в том числе с использованием дистанционных образовательных технологий;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внедрение клинических рекомендаций и протоколов лечения и их использование в </w:t>
      </w:r>
      <w:proofErr w:type="gramStart"/>
      <w:r>
        <w:t>целях</w:t>
      </w:r>
      <w:proofErr w:type="gramEnd"/>
      <w:r>
        <w:t xml:space="preserve"> формирования тарифов на оплату медицинской помощи;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разработка и реализация программ борьбы с онкологическими заболеваниями, </w:t>
      </w:r>
      <w:proofErr w:type="gramStart"/>
      <w:r>
        <w:t>сердечно-сосудистыми</w:t>
      </w:r>
      <w:proofErr w:type="gramEnd"/>
      <w:r>
        <w:t xml:space="preserve"> заболеваниями, развития детского здравоохранения, включая создание современной инфраструктуры оказания медицинской помощи детям;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lastRenderedPageBreak/>
        <w:t>формирование системы защиты прав пациентов;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совершенствование механизма экспорта медицинских услуг.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5. Правительству Российской Федерации при разработке национального проекта в сфере образования исходить из того, что в 2024 году необходимо обеспечить: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создание условий для раннего развития детей в </w:t>
      </w:r>
      <w:proofErr w:type="gramStart"/>
      <w:r>
        <w:t>возрасте</w:t>
      </w:r>
      <w:proofErr w:type="gramEnd"/>
      <w:r>
        <w:t xml:space="preserve">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формирование системы профессиональных конкурсов в </w:t>
      </w:r>
      <w:proofErr w:type="gramStart"/>
      <w:r>
        <w:t>целях</w:t>
      </w:r>
      <w:proofErr w:type="gramEnd"/>
      <w:r>
        <w:t xml:space="preserve"> предоставления гражданам возможностей для профессионального и карьерного роста;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>
        <w:t>волонтерства</w:t>
      </w:r>
      <w:proofErr w:type="spellEnd"/>
      <w:r>
        <w:t>);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увеличение не менее чем в два раза количества иностранных граждан, обучающихся в образовательных организациях высшего образования и научных организациях, а также реализация комплекса мер по трудоустройству лучших из них в Российской Федерации.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6. Правительству Российской Федерации при разработке национального проекта в сфере жилья и городской среды исходить из того, что в 2024 году необходимо обеспечить: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lastRenderedPageBreak/>
        <w:t>а) достижение следующих целей и целевых показателей: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ставка по которому должна быть менее 8 процентов;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увеличение объема жилищного строительства не менее чем до 120 млн. квадратных метров в год;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создание механизма прямого участия граждан в </w:t>
      </w:r>
      <w:proofErr w:type="gramStart"/>
      <w:r>
        <w:t>формировании</w:t>
      </w:r>
      <w:proofErr w:type="gramEnd"/>
      <w:r>
        <w:t xml:space="preserve"> комфортной городской среды, увеличение доли граждан, принимающих участие в решении вопросов развития городской среды, до 30 процентов;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обеспечение устойчивого сокращения непригодного для проживания жилищного фонда;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совершенствование механизмов финансирования жилищного строительства, в том числе посредством развития рынка ипотечных ценных бумаг и поэтапного перехода от привлечения денежных сре</w:t>
      </w:r>
      <w:proofErr w:type="gramStart"/>
      <w:r>
        <w:t>дств дл</w:t>
      </w:r>
      <w:proofErr w:type="gramEnd"/>
      <w:r>
        <w:t>я долевого строительства многоквартирных домов и иных объектов недвижимости к другим формам финансирования жилищного строительства, обеспечивающим защиту прав граждан и снижение рисков для них;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модернизация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строительстве, совершенствование механизмов государственной поддержки строительства стандартного жилья;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</w:r>
    </w:p>
    <w:p w:rsidR="00746D9D" w:rsidRDefault="00746D9D">
      <w:pPr>
        <w:pStyle w:val="ConsPlusNormal"/>
        <w:spacing w:before="220"/>
        <w:ind w:firstLine="540"/>
        <w:jc w:val="both"/>
      </w:pPr>
      <w:proofErr w:type="gramStart"/>
      <w:r>
        <w:t>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значение;</w:t>
      </w:r>
      <w:proofErr w:type="gramEnd"/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Федерации.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7. Правительству Российской Федерации при разработке национального проекта в сфере экологии исходить из того, что в 2024 году необходимо обеспечить: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эффективное обращение с отходами производства и потребления, включая ликвидацию всех выявленных на 1 января 2018 г. несанкционированных свалок в границах городов;</w:t>
      </w:r>
    </w:p>
    <w:p w:rsidR="00746D9D" w:rsidRDefault="00746D9D">
      <w:pPr>
        <w:pStyle w:val="ConsPlusNormal"/>
        <w:spacing w:before="220"/>
        <w:ind w:firstLine="540"/>
        <w:jc w:val="both"/>
      </w:pPr>
      <w:proofErr w:type="gramStart"/>
      <w:r>
        <w:t xml:space="preserve">кардинальное снижение уровня загрязнения атмосферного воздуха в крупных </w:t>
      </w:r>
      <w:r>
        <w:lastRenderedPageBreak/>
        <w:t>промышленных центрах, в том числе уменьшение не менее чем на 20 процентов совокупного объема выбросов загрязняющих веществ в атмосферный воздух в наиболее загрязненных городах;</w:t>
      </w:r>
      <w:proofErr w:type="gramEnd"/>
    </w:p>
    <w:p w:rsidR="00746D9D" w:rsidRDefault="00746D9D">
      <w:pPr>
        <w:pStyle w:val="ConsPlusNormal"/>
        <w:spacing w:before="220"/>
        <w:ind w:firstLine="540"/>
        <w:jc w:val="both"/>
      </w:pPr>
      <w:r>
        <w:t>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экологическое оздоровление водных объектов, включая реку Волгу, и сохранение уникальных водных систем, включая озера Байкал и Телецкое;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сохранение биологического разнообразия, в том числе посредством создания не менее 24 новых особо охраняемых природных территорий;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формирование комплексной системы обращения с твердыми коммунальными отходами, включая ликвидацию свалок и рекультивацию территорий, на которых они размещены, создание условий для вторичной переработки всех запрещенных к захоронению отходов производства и потребления;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и эффективное функционирование во всех субъектах Российской Федерации системы общественного контроля, направленной на выявление и ликвидацию несанкционированных свалок;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современной инфраструктуры, обеспечивающей безопасное обращение с отходами I и II классов опасности, и ликвидация наиболее опасных объектов накопленного экологического вреда;</w:t>
      </w:r>
    </w:p>
    <w:p w:rsidR="00746D9D" w:rsidRDefault="00746D9D">
      <w:pPr>
        <w:pStyle w:val="ConsPlusNormal"/>
        <w:spacing w:before="220"/>
        <w:ind w:firstLine="540"/>
        <w:jc w:val="both"/>
      </w:pPr>
      <w:proofErr w:type="gramStart"/>
      <w:r>
        <w:t>реализация комплексных планов мероприятий по снижению выбросов загрязняющих веществ в атмосферный воздух в крупных промышленных центрах, включая города Братск, Красноярск, Липецк, Магнитогорск, Медногорск, Нижний Тагил, Новокузнецк, Норильск, Омск, Челябинск, Череповец и Читу, с учетом сводных расчетов допустимого в этих городах негативного воздействия на окружающую среду;</w:t>
      </w:r>
      <w:proofErr w:type="gramEnd"/>
    </w:p>
    <w:p w:rsidR="00746D9D" w:rsidRDefault="00746D9D">
      <w:pPr>
        <w:pStyle w:val="ConsPlusNormal"/>
        <w:spacing w:before="220"/>
        <w:ind w:firstLine="540"/>
        <w:jc w:val="both"/>
      </w:pPr>
      <w:r>
        <w:t>применение всеми объектами, оказывающими значительное негативное воздействие на окружающую среду, системы экологического регулирования, основанной на использовании наилучших доступных технологий;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повышение качества питьевой воды посредством модернизации систем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комплекса;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экологическая реабилитация водных объектов, в том числе реализация проекта, направленного на сокращение в три раза доли загрязненных сточных вод, отводимых в реку Волгу, устойчивое функционирование водохозяйственного комплекса Нижней Волги и сохранение экосистемы Волго-</w:t>
      </w:r>
      <w:proofErr w:type="spellStart"/>
      <w:r>
        <w:t>Ахтубинской</w:t>
      </w:r>
      <w:proofErr w:type="spellEnd"/>
      <w:r>
        <w:t xml:space="preserve"> поймы;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сохранение уникальных водных объектов, в том числе реализация проекта по сохранению озера Байкал, а также мероприятий по очистке от мусора берегов и прибрежной акватории озер Байкал, Телецкое, Ладожское, Онежское и рек Волги, Дона, Оби, Енисея, Амура, Урала, Печоры;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сохранение биологического разнообразия, включая увеличение площади особо охраняемых природных территорий на 5 млн. гектаров, </w:t>
      </w:r>
      <w:proofErr w:type="spellStart"/>
      <w:r>
        <w:t>реинтродукцию</w:t>
      </w:r>
      <w:proofErr w:type="spellEnd"/>
      <w:r>
        <w:t xml:space="preserve"> редких видов животных, создание инфраструктуры для экологического туризма в национальных парках, а также сохранение лесов, в том числе на основе их воспроизводства на всех участках вырубленных и погибших лесных насаждений.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lastRenderedPageBreak/>
        <w:t>8. Правительству Российской Федерации при разработке национального проекта по созданию безопасных и качественных автомобильных дорог исходить из того, что в 2024 году необходимо обеспечить: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увеличение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г.), а также утверждение органами государственной власти субъектов Российской Федерации таких нормативов исходя из установленных на федеральном уровне требований безопасности автомобильных дорог;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снижение доли автомобильных дорог федерального и регионального значения, работающих в </w:t>
      </w:r>
      <w:proofErr w:type="gramStart"/>
      <w:r>
        <w:t>режиме</w:t>
      </w:r>
      <w:proofErr w:type="gramEnd"/>
      <w:r>
        <w:t xml:space="preserve"> перегрузки, в их общей протяженности на 10 процентов по сравнению с 2017 годом;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снижение смертности в результате дорожно-транспортных происшествий в 3,5 раза по сравнению с 2017 годом - до уровня, не превышающего четырех человек на 100 тыс. населения (к 2030 году - стремление к нулевому уровню смертности);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доведение в крупнейших городских </w:t>
      </w:r>
      <w:proofErr w:type="gramStart"/>
      <w:r>
        <w:t>агломерациях</w:t>
      </w:r>
      <w:proofErr w:type="gramEnd"/>
      <w:r>
        <w:t xml:space="preserve"> доли автомобильных дорог, соответствующих нормативным требованиям, в их общей протяженности до 85 процентов;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применение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доведение </w:t>
      </w:r>
      <w:proofErr w:type="gramStart"/>
      <w:r>
        <w:t>норматива зачисления налоговых доходов бюджетов субъектов Российской Федерации</w:t>
      </w:r>
      <w:proofErr w:type="gramEnd"/>
      <w:r>
        <w:t xml:space="preserve"> от акцизов на горюче-смазочные материалы до 100 процентов;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внедрение общедоступной информационной системы </w:t>
      </w:r>
      <w:proofErr w:type="gramStart"/>
      <w:r>
        <w:t>контроля за</w:t>
      </w:r>
      <w:proofErr w:type="gramEnd"/>
      <w:r>
        <w:t xml:space="preserve"> формированием и использованием средств дорожных фондов всех уровней (в 2019 году);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механизмов экономического стимулирования сохранности автомобильных дорог регионального и местного значения;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внедрение новых технических требований и стандартов обустройства автомобильных дорог, в том числе на основе цифровых технологий, направленных на устранение мест концентрации дорожно-транспортных происшествий;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внедрение автоматизированных и роботизированных технологий организации дорожного движения и </w:t>
      </w:r>
      <w:proofErr w:type="gramStart"/>
      <w:r>
        <w:t>контроля за</w:t>
      </w:r>
      <w:proofErr w:type="gramEnd"/>
      <w:r>
        <w:t xml:space="preserve"> соблюдением правил дорожного движения;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усиление ответственности водителей за нарушение правил дорожного движения, а также повышение требований к уровню их профессиональной подготовки.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9. Правительству Российской Федерации при реализации совместно с органами государственной власти субъектов Российской Федерации национальной программы в сфере повышения производительности труда и поддержки занятости обеспечить в 2024 году: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рост производительности труда на средних и крупных предприятиях базовых </w:t>
      </w:r>
      <w:proofErr w:type="spellStart"/>
      <w:r>
        <w:t>несырьевых</w:t>
      </w:r>
      <w:proofErr w:type="spellEnd"/>
      <w:r>
        <w:t xml:space="preserve"> </w:t>
      </w:r>
      <w:r>
        <w:lastRenderedPageBreak/>
        <w:t>отраслей экономики не ниже 5 процентов в год;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привлечение к участию в реализации указанной национальной программы не менее 10 субъектов Российской Федерации ежегодно;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вовлечение в реализацию указанной национальной программы не менее 10 тыс. средних и крупных предприятий базовых </w:t>
      </w:r>
      <w:proofErr w:type="spellStart"/>
      <w:r>
        <w:t>несырьевых</w:t>
      </w:r>
      <w:proofErr w:type="spellEnd"/>
      <w:r>
        <w:t xml:space="preserve"> отраслей экономики;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стимулирование внедрения передовых управленческих, организационных и технологических решений для повышения производительности труда и модернизации основных фондов, в том числе посредством предоставления налоговых преференций;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сокращение нормативно-правовых и административных ограничений, препятствующих росту производительности труда, а также замещение устаревших и непроизводительных рабочих мест;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формирование системы методической и организационной поддержки повышения производительности труда на предприятиях;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формирование системы подготовки кадров, направленной на обучение основам повышения производительности труда, в том числе посредством использования цифровых технологий и платформенных решений.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10. Правительству Российской Федерации при разработке национального проекта в сфере науки исходить из того, что в 2024 году необходимо обеспечить: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обеспечение присутствия Российской Федерации в числе пяти ведущих стран мира, осуществляющих научные исследования и разработки в областях, определяемых приоритетами научно-технологического развития;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обеспечение привлекательности работы в Российской Федерации для российских и зарубежных ведущих ученых и молодых перспективных исследователей;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опережающее увеличение внутренних затрат на научные исследования и разработки за счет всех источников по сравнению с ростом валового внутреннего продукта страны;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передовой инфраструктуры научных исследований и разработок, инновационной деятельности, включая создание и развитие сети уникальных научных установок класса "</w:t>
      </w:r>
      <w:proofErr w:type="spellStart"/>
      <w:r>
        <w:t>мегасайенс</w:t>
      </w:r>
      <w:proofErr w:type="spellEnd"/>
      <w:r>
        <w:t>";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обновление не менее 50 процентов приборной базы ведущих организаций, выполняющих научные исследования и разработки;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научных центров мирового уровня, включая сеть международных математических центров и центров геномных исследований;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не менее 15 научно-образовательных центров мирового уровня на основе интеграции университетов и научных организаций и их кооперации с организациями, действующими в реальном секторе экономики;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формирование целостной системы подготовки и профессионального роста научных и </w:t>
      </w:r>
      <w:r>
        <w:lastRenderedPageBreak/>
        <w:t>научно-педагогических кадров, обеспечивающей условия для осуществления молодыми учеными научных исследований и разработок, создания научных лабораторий и конкурентоспособных коллективов.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11. Правительству Российской Федерации при реализации совместно с органами государственной власти субъектов Российской Федерации национальной </w:t>
      </w:r>
      <w:hyperlink r:id="rId6" w:history="1">
        <w:r>
          <w:rPr>
            <w:color w:val="0000FF"/>
          </w:rPr>
          <w:t>программы</w:t>
        </w:r>
      </w:hyperlink>
      <w:r>
        <w:t xml:space="preserve"> "Цифровая экономика Российской Федерации" обеспечить в 2024 году: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увеличение внутренних затрат на развитие цифровой экономики за счет всех источников (по доле в валовом внутреннем продукте страны) не менее чем в три раза по сравнению с 2017 годом;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использование преимущественно отечественного программного обеспечения государственными органами, органами местного самоуправления и организациями;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системы правового регулирования цифровой экономики, основанного на гибком подходе в каждой сфере, а также внедрение гражданского оборота на базе цифровых технологий;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глобальной конкурентоспособной инфраструктуры передачи, обработки и хранения данных преимущественно на основе отечественных разработок;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обеспечение подготовки высококвалифицированных кадров для цифровой экономики;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сквозных цифровых технологий преимущественно на основе отечественных разработок;</w:t>
      </w:r>
    </w:p>
    <w:p w:rsidR="00746D9D" w:rsidRDefault="00746D9D">
      <w:pPr>
        <w:pStyle w:val="ConsPlusNormal"/>
        <w:spacing w:before="220"/>
        <w:ind w:firstLine="540"/>
        <w:jc w:val="both"/>
      </w:pPr>
      <w:proofErr w:type="gramStart"/>
      <w:r>
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предпринимателей;</w:t>
      </w:r>
      <w:proofErr w:type="gramEnd"/>
    </w:p>
    <w:p w:rsidR="00746D9D" w:rsidRDefault="00746D9D">
      <w:pPr>
        <w:pStyle w:val="ConsPlusNormal"/>
        <w:spacing w:before="220"/>
        <w:ind w:firstLine="540"/>
        <w:jc w:val="both"/>
      </w:pPr>
      <w:r>
        <w:t>преобразование приоритетных отраслей экономики и социальной сферы, включая здравоохранение, образование, промышленность, сельское хозяйство, строительство, городское хозяйство, транспортную и энергетическую инфраструктуру, финансовые услуги, посредством внедрения цифровых технологий и платформенных решений;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комплексной системы финансирования проектов по разработке и (или) внедрению цифровых технологий и платформенных решений, включающей в себя венчурное финансирование и иные институты развития;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разработка и внедрение национального механизма осуществления согласованной политики государств - членов Евразийского экономического союза при реализации планов в области развития цифровой экономики.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12. Правительству Российской Федерации при разработке национальной программы в сфере культуры обратить особое внимание на необходимость: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lastRenderedPageBreak/>
        <w:t>а) укрепления российской гражданской идентичности на основе духовно-нравственных и культурных ценностей народов Российской Федерации;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б) создания (реконструкции) культурно-образовательных и музейных комплексов, включающих в себя концертные залы, театральные, музыкальные, хореографические и другие творческие школы, а также выставочные пространства;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в) обеспечения детских музыкальных, художественных, хореографических школ, училищ и школ искусств необходимыми инструментами, оборудованием и материалами;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г) продвижения талантливой молодежи в сфере музыкального искусства, в том числе посредством создания национального молодежного симфонического оркестра;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д) создания (реконструкции) культурно-досуговых организаций клубного типа на территориях сельских поселений, развития муниципальных библиотек;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е) создания виртуальных концертных залов не менее чем в 500 городах Российской Федерации;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ж) создания условий для показа национальных кинофильмов в </w:t>
      </w:r>
      <w:proofErr w:type="gramStart"/>
      <w:r>
        <w:t>кинозалах</w:t>
      </w:r>
      <w:proofErr w:type="gramEnd"/>
      <w:r>
        <w:t>, расположенных в населенных пунктах с численностью населения до 500 тыс. человек;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з) подготовки кадров для организаций культуры;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и) модернизации региональных и муниципальных театров юного зрителя и кукольных театров путем их реконструкции и капитального ремонта;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к) поддержки добровольческих движений, в том числе в сфере сохранения культурного наследия народов Российской Федерации.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13. Правительству Российской Федерации при реализации совместно с органами государственной власти субъектов Российской Федерации национального проекта в сфере развития малого и среднего предпринимательства и поддержки индивидуальной предпринимательской инициативы обеспечить в 2024 году: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а) достижение следующего целевого показателя: увеличение численности занятых в сфере малого и среднего предпринимательства, включая индивидуальных предпринимателей, до 25 млн. человек;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улучшение условий ведения предпринимательской деятельности, включая упрощение налоговой отчетности для предпринимателей, применяющих контрольно-кассовую технику;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цифровой платформы, ориентированной на поддержку производственной и сбытовой деятельности субъектов малого и среднего предпринимательства, включая индивидуальных предпринимателей;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совершенствование системы закупок, осуществляемых крупнейшими заказчиками у субъектов малого и среднего предпринимательства, включая индивидуальных предпринимателей;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упрощение доступа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создание системы акселерации субъектов малого и среднего предпринимательства, </w:t>
      </w:r>
      <w:r>
        <w:lastRenderedPageBreak/>
        <w:t>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экология;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модернизация системы поддержки экспортеров, являющихся субъектами малого и среднего предпринимательства, включая индивидуальных предпринимателей, увеличение доли таких экспортеров в </w:t>
      </w:r>
      <w:proofErr w:type="gramStart"/>
      <w:r>
        <w:t>общем</w:t>
      </w:r>
      <w:proofErr w:type="gramEnd"/>
      <w:r>
        <w:t xml:space="preserve"> объеме </w:t>
      </w:r>
      <w:proofErr w:type="spellStart"/>
      <w:r>
        <w:t>несырьевого</w:t>
      </w:r>
      <w:proofErr w:type="spellEnd"/>
      <w:r>
        <w:t xml:space="preserve"> экспорта не менее чем до 10 процентов;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системы поддержки фермеров и развитие сельской кооперации;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обеспечение благоприятных условий осуществления деятельности </w:t>
      </w:r>
      <w:proofErr w:type="spellStart"/>
      <w:r>
        <w:t>самозанятыми</w:t>
      </w:r>
      <w:proofErr w:type="spellEnd"/>
      <w:r>
        <w:t xml:space="preserve">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с выручки, включающего в себя страховые взносы.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14. Правительству Российской Федерации при разработке национальной программы в сфере развития международной кооперации и экспорта исходить из того, что в 2024 году необходимо обеспечить: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формирование в обрабатывающей промышленности, сельском хозяйстве, сфере услуг глобальных конкурентоспособных </w:t>
      </w:r>
      <w:proofErr w:type="spellStart"/>
      <w:r>
        <w:t>несырьевых</w:t>
      </w:r>
      <w:proofErr w:type="spellEnd"/>
      <w:r>
        <w:t xml:space="preserve"> секторов, общая доля экспорта товаров (работ, услуг) которых составит не менее 20 процентов валового внутреннего продукта страны;</w:t>
      </w:r>
    </w:p>
    <w:p w:rsidR="00746D9D" w:rsidRDefault="00746D9D">
      <w:pPr>
        <w:pStyle w:val="ConsPlusNormal"/>
        <w:spacing w:before="220"/>
        <w:ind w:firstLine="540"/>
        <w:jc w:val="both"/>
      </w:pPr>
      <w:proofErr w:type="gramStart"/>
      <w:r>
        <w:t xml:space="preserve">достижение объема экспорта (в стоимостном выражении) </w:t>
      </w:r>
      <w:proofErr w:type="spellStart"/>
      <w:r>
        <w:t>несырьевых</w:t>
      </w:r>
      <w:proofErr w:type="spellEnd"/>
      <w:r>
        <w:t xml:space="preserve"> неэнергетических товаров в размере 250 млрд. долларов США в год, в том числе продукции машиностроения - 50 млрд. долларов США в год и продукции агропромышленного комплекса - 45 млрд. долларов США в год, а также объема экспорта оказываемых услуг в размере 100 млрд. долларов США в год;</w:t>
      </w:r>
      <w:proofErr w:type="gramEnd"/>
    </w:p>
    <w:p w:rsidR="00746D9D" w:rsidRDefault="00746D9D">
      <w:pPr>
        <w:pStyle w:val="ConsPlusNormal"/>
        <w:spacing w:before="220"/>
        <w:ind w:firstLine="540"/>
        <w:jc w:val="both"/>
      </w:pPr>
      <w:r>
        <w:t>формирование эффективной системы разделения труда и производственной кооперации в рамках Евразийского экономического союза в целях увеличения объема торговли между государствами - членами Союза не менее чем в полтора раза и обеспечения роста объема накопленных взаимных инвестиций в полтора раза;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ориентация промышленной, аграрной и торговой политики, включая применяемые механизмы государственной поддержки, на достижение международной конкурентоспособности российских товаров (работ, услуг) в целях обеспечения их присутствия на внешних рынках;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сокращение административных процедур и барьеров в сфере международной торговли, включая отмену избыточных требований при лицензировании экспорта и осуществлении валютного контроля, организация (к 2021 году) взаимодействия субъектов международной торговли с контролирующими органами по принципу "одного окна";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завершение создания гибкой линейки финансовых инструментов поддержки экспорта (к 2021 году), включая расширенное </w:t>
      </w:r>
      <w:proofErr w:type="spellStart"/>
      <w:r>
        <w:t>предэкспортное</w:t>
      </w:r>
      <w:proofErr w:type="spellEnd"/>
      <w:r>
        <w:t>, экспортное и акционерное финансирование, лизинг и долгосрочные меры поддержки;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устранение логистических ограничений при экспорте товаров с использованием железнодорожного, автомобильного и морского транспорта, а также строительство (модернизация) пунктов пропуска через государственную границу Российской Федерации;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создание единой системы институтов продвижения экспорта, предусматривающей </w:t>
      </w:r>
      <w:r>
        <w:lastRenderedPageBreak/>
        <w:t>модернизацию торговых представительств Российской Федерации за рубежом;</w:t>
      </w:r>
    </w:p>
    <w:p w:rsidR="00746D9D" w:rsidRDefault="00746D9D">
      <w:pPr>
        <w:pStyle w:val="ConsPlusNormal"/>
        <w:spacing w:before="220"/>
        <w:ind w:firstLine="540"/>
        <w:jc w:val="both"/>
      </w:pPr>
      <w:proofErr w:type="gramStart"/>
      <w:r>
        <w:t>завершение формирования в рамках Евразийского экономического союза общих рынков товаров, услуг, капитала и рабочей силы, включая окончательное устранение барьеров, ограничений и отмену изъятий в экономическом сотрудничестве, при одновременном активном использовании механизмов совместной проектной деятельности.</w:t>
      </w:r>
      <w:proofErr w:type="gramEnd"/>
    </w:p>
    <w:p w:rsidR="00746D9D" w:rsidRDefault="00746D9D">
      <w:pPr>
        <w:pStyle w:val="ConsPlusNormal"/>
        <w:spacing w:before="220"/>
        <w:ind w:firstLine="540"/>
        <w:jc w:val="both"/>
      </w:pPr>
      <w:r>
        <w:t>15. Правительству Российской Федерации на основе стратегии пространственного развития Российской Федерации разработать с участием органов государственной власти субъектов Российской Федерации и до 1 октября 2018 г. утвердить комплексный план модернизации и расширения магистральной инфраструктуры, предусматривающий обеспечение в 2024 году: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а) развития транспортных коридоров "Запад - Восток" и "Север - Юг" для перевозки грузов, в том числе за счет: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строительства и модернизации российских участков автомобильных дорог, относящихся к международному транспортному маршруту "Европа - Западный Китай";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увеличения мощностей морских портов Российской Федерации, включая порты Дальневосточного, Северо-Западного, Волго-Каспийского и Азово-Черноморского бассейнов;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развития Северного морского пути и увеличения грузопотока по нему до 80 млн. тонн;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сокращения времени перевозки контейнеров железнодорожным транспортом, в частности с Дальнего Востока до западной границы Российской Федерации до семи дней, и увеличения объема транзитных перевозок контейнеров железнодорожным транспортом в четыре раза;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формирования узловых грузовых </w:t>
      </w:r>
      <w:proofErr w:type="spellStart"/>
      <w:r>
        <w:t>мультимодальных</w:t>
      </w:r>
      <w:proofErr w:type="spellEnd"/>
      <w:r>
        <w:t xml:space="preserve"> транспортно-логистических центров;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увеличения пропускной способности Байкало-Амурской и Транссибирской железнодорожных магистралей в полтора раза, до 180 млн. тонн;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увеличения пропускной способности железнодорожных подходов к морским портам Азово-Черноморского бассейна;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б) повышения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инфраструктуры, в том числе за счет: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поэтапного развития транспортных коммуникаций между административными центрами субъектов Российской Федерации и другими городами - центрами экономического роста, включая ликвидацию инфраструктурных ограничений на имеющих перспективы развития территориях, прилегающих к таким транспортным коммуникациям;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реконструкции инфраструктуры региональных аэропортов и расширения сети межрегиональных регулярных пассажирских авиационных маршрутов, минуя Москву, до 50 процентов от общего количества внутренних регулярных авиационных маршрутов;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создания основы для развития скоростного и высокоскоростного железнодорожного сообщения между крупными городами;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увеличения пропускной способности внутренних водных путей;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в) гарантированного обеспечения доступной электроэнергией, в том числе за счет: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электрификации транспортных коридоров "Запад - Восток" и "Север - Юг", включая Байкало-Амурскую и Транссибирскую железнодорожные магистрали, во взаимосвязи с развитием </w:t>
      </w:r>
      <w:r>
        <w:lastRenderedPageBreak/>
        <w:t>транспортной инфраструктуры;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развития централизованных энергосистем, включая модернизацию генерирующих мощностей тепловых, атомных и гидроэлектростанций в </w:t>
      </w:r>
      <w:proofErr w:type="gramStart"/>
      <w:r>
        <w:t>соответствии</w:t>
      </w:r>
      <w:proofErr w:type="gramEnd"/>
      <w:r>
        <w:t xml:space="preserve"> с потребностями социально-экономического развития;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устойчивого энергоснабжения потребителей на территориях субъектов Российской Федерации, прежде всего Республики Крым, г. Севастополя, Калининградской области, а также субъектов Российской Федерации, входящих в состав Дальневосточного федерального округа;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развития распределенной генерации, в том числе на основе возобновляемых источников энергии, в первую очередь в удаленных и изолированных </w:t>
      </w:r>
      <w:proofErr w:type="spellStart"/>
      <w:r>
        <w:t>энергорайонах</w:t>
      </w:r>
      <w:proofErr w:type="spellEnd"/>
      <w:r>
        <w:t>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внедрения интеллектуальных систем управления электросетевым хозяйством на базе цифровых технологий.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16. Правительству Российской Федерации: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а) ежегодно при формировании проекта федерального бюджета на очередной финансовый год и на плановый период предусматривать в приоритетном порядке бюджетные ассигнования федерального бюджета на реализацию национальных проектов (программ), названных в </w:t>
      </w:r>
      <w:hyperlink w:anchor="P24" w:history="1">
        <w:r>
          <w:rPr>
            <w:color w:val="0000FF"/>
          </w:rPr>
          <w:t>подпункте "б" пункта 2</w:t>
        </w:r>
      </w:hyperlink>
      <w:r>
        <w:t xml:space="preserve"> настоящего Указа;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б) обеспечить направление в приоритетном </w:t>
      </w:r>
      <w:proofErr w:type="gramStart"/>
      <w:r>
        <w:t>порядке</w:t>
      </w:r>
      <w:proofErr w:type="gramEnd"/>
      <w:r>
        <w:t xml:space="preserve"> дополнительных доходов федерального бюджета, образующихся в ходе его исполнения, на реализацию национальных проектов (программ), названных в </w:t>
      </w:r>
      <w:hyperlink w:anchor="P24" w:history="1">
        <w:r>
          <w:rPr>
            <w:color w:val="0000FF"/>
          </w:rPr>
          <w:t>подпункте "б" пункта 2</w:t>
        </w:r>
      </w:hyperlink>
      <w:r>
        <w:t xml:space="preserve"> настоящего Указа.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17. Настоящий Указ вступает в силу со дня его официального опубликования.</w:t>
      </w:r>
    </w:p>
    <w:p w:rsidR="00746D9D" w:rsidRDefault="00746D9D">
      <w:pPr>
        <w:pStyle w:val="ConsPlusNormal"/>
        <w:jc w:val="both"/>
      </w:pPr>
    </w:p>
    <w:p w:rsidR="00746D9D" w:rsidRDefault="00746D9D">
      <w:pPr>
        <w:pStyle w:val="ConsPlusNormal"/>
        <w:jc w:val="right"/>
      </w:pPr>
      <w:r>
        <w:t>Президент</w:t>
      </w:r>
    </w:p>
    <w:p w:rsidR="00746D9D" w:rsidRDefault="00746D9D">
      <w:pPr>
        <w:pStyle w:val="ConsPlusNormal"/>
        <w:jc w:val="right"/>
      </w:pPr>
      <w:r>
        <w:t>Российской Федерации</w:t>
      </w:r>
    </w:p>
    <w:p w:rsidR="00746D9D" w:rsidRDefault="00746D9D">
      <w:pPr>
        <w:pStyle w:val="ConsPlusNormal"/>
        <w:jc w:val="right"/>
      </w:pPr>
      <w:r>
        <w:t>В.ПУТИН</w:t>
      </w:r>
    </w:p>
    <w:p w:rsidR="00746D9D" w:rsidRDefault="00746D9D">
      <w:pPr>
        <w:pStyle w:val="ConsPlusNormal"/>
      </w:pPr>
      <w:r>
        <w:t>Москва, Кремль</w:t>
      </w:r>
    </w:p>
    <w:p w:rsidR="00746D9D" w:rsidRDefault="00746D9D">
      <w:pPr>
        <w:pStyle w:val="ConsPlusNormal"/>
        <w:spacing w:before="220"/>
      </w:pPr>
      <w:r>
        <w:t>7 мая 2018 года</w:t>
      </w:r>
    </w:p>
    <w:p w:rsidR="00746D9D" w:rsidRDefault="00746D9D">
      <w:pPr>
        <w:pStyle w:val="ConsPlusNormal"/>
        <w:spacing w:before="220"/>
      </w:pPr>
      <w:r>
        <w:t>N 204</w:t>
      </w:r>
    </w:p>
    <w:p w:rsidR="00746D9D" w:rsidRDefault="00746D9D">
      <w:pPr>
        <w:pStyle w:val="ConsPlusNormal"/>
        <w:jc w:val="both"/>
      </w:pPr>
    </w:p>
    <w:p w:rsidR="00746D9D" w:rsidRDefault="00746D9D">
      <w:pPr>
        <w:pStyle w:val="ConsPlusNormal"/>
        <w:jc w:val="both"/>
      </w:pPr>
    </w:p>
    <w:p w:rsidR="00746D9D" w:rsidRDefault="00746D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1C60" w:rsidRDefault="00C51C60"/>
    <w:sectPr w:rsidR="00C51C60" w:rsidSect="00A25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9D"/>
    <w:rsid w:val="00367077"/>
    <w:rsid w:val="00746D9D"/>
    <w:rsid w:val="00C5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6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6D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6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6D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7E637829FAAD793EF15DAEDCDE9057A473B7FD29DF76D5B9B8D39292C7C1742F6E75EF3575ADEER8J3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5129</Words>
  <Characters>29236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Минобразования Столярова Марина Григорьевна obrazov3</cp:lastModifiedBy>
  <cp:revision>2</cp:revision>
  <dcterms:created xsi:type="dcterms:W3CDTF">2019-01-31T13:19:00Z</dcterms:created>
  <dcterms:modified xsi:type="dcterms:W3CDTF">2019-01-31T13:19:00Z</dcterms:modified>
</cp:coreProperties>
</file>