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4" w:rsidRPr="005203C4" w:rsidRDefault="005203C4" w:rsidP="005203C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Методические рекомендации MP 2.4.0180-20 "Родительский </w:t>
      </w:r>
      <w:proofErr w:type="gramStart"/>
      <w:r w:rsidRPr="005203C4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контроль за</w:t>
      </w:r>
      <w:proofErr w:type="gramEnd"/>
      <w:r w:rsidRPr="005203C4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5203C4" w:rsidRPr="005203C4" w:rsidRDefault="005203C4" w:rsidP="005203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11 июня 2020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0"/>
      <w:bookmarkEnd w:id="0"/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Методические рекомендации MP 2.4.0180-20</w:t>
      </w: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"Родительский </w:t>
      </w:r>
      <w:proofErr w:type="gramStart"/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контроль за</w:t>
      </w:r>
      <w:proofErr w:type="gramEnd"/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организацией горячего питания детей в общеобразовательных организациях"</w:t>
      </w: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Введены впервые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Общие положения и область применения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1.1. Настоящие методические рекомендации направлены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II. Принципы организации здорового питания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2.1.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энергозатратам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макронутриентах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исключение использования фальсифицированных пищевых продуктов.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сердечно-сосудистых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заболеваний и избыточной массы тела.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2.2. Режим питания.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5203C4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таблица</w:t>
        </w:r>
      </w:hyperlink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Таблица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2971"/>
        <w:gridCol w:w="4862"/>
      </w:tblGrid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приемов пищи</w:t>
            </w:r>
          </w:p>
        </w:tc>
      </w:tr>
      <w:tr w:rsidR="005203C4" w:rsidRPr="005203C4" w:rsidTr="005203C4">
        <w:tc>
          <w:tcPr>
            <w:tcW w:w="0" w:type="auto"/>
            <w:vMerge w:val="restart"/>
            <w:vAlign w:val="center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5203C4" w:rsidRPr="005203C4" w:rsidTr="005203C4">
        <w:tc>
          <w:tcPr>
            <w:tcW w:w="0" w:type="auto"/>
            <w:vMerge/>
            <w:vAlign w:val="center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менее двух приемов пищи</w:t>
            </w:r>
            <w:proofErr w:type="gramEnd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5203C4" w:rsidRPr="005203C4" w:rsidTr="005203C4">
        <w:tc>
          <w:tcPr>
            <w:tcW w:w="0" w:type="auto"/>
            <w:vMerge/>
            <w:vAlign w:val="center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завтрак, обед, полдник, ужин, второй ужин</w:t>
            </w:r>
          </w:p>
        </w:tc>
      </w:tr>
      <w:tr w:rsidR="005203C4" w:rsidRPr="005203C4" w:rsidTr="005203C4">
        <w:tc>
          <w:tcPr>
            <w:tcW w:w="0" w:type="auto"/>
            <w:vMerge w:val="restart"/>
            <w:vAlign w:val="center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завтрак, обед</w:t>
            </w:r>
          </w:p>
        </w:tc>
      </w:tr>
      <w:tr w:rsidR="005203C4" w:rsidRPr="005203C4" w:rsidTr="005203C4">
        <w:tc>
          <w:tcPr>
            <w:tcW w:w="0" w:type="auto"/>
            <w:vMerge/>
            <w:vAlign w:val="center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завтрак, обед, полдник</w:t>
            </w:r>
          </w:p>
        </w:tc>
      </w:tr>
    </w:tbl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 случае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2.3. Формирование у детей культуры правильного питания.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энергозатраты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ребенка, биологическая ценность - физиологическую потребность.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завтрак приходится 20-25% калорийности суточного рациона;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второй завтрак (если он есть) - 5-10%;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обед - 30-35%;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полдник - 10-15%;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ужин - 25-30%;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 второй ужин - 5%.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III. Родительский </w:t>
      </w:r>
      <w:proofErr w:type="gramStart"/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контроль за</w:t>
      </w:r>
      <w:proofErr w:type="gramEnd"/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организацией питания детей в общеобразовательных организациях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3.2. Порядок проведения мероприятий по родительскому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контролю за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3.3. При проведении мероприятий родительского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контроля за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соответствие реализуемых блюд утвержденному меню;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- условия соблюдения правил личной гигиены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наличие и состояние санитарной одежды у сотрудников, осуществляющих раздачу готовых блюд;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объем и вид пищевых отходов после приема пищи;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информирование родителей и детей о здоровом питании.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5203C4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5203C4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настоящим MP).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Итоги проверок обсуждаются на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общеродительских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IV. Рекомендации родителям по организации питания детей в семье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4.1. Роль и значение питания.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энерготрат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кровотворении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кровотворение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иммуно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Витамины группы В. Витамин В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Витамин В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содержится в молоке, яйце, печени, мясе, овощах.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контроль за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пищевым поведением, приводит к избыточному потреблению пищи.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Если ребенок </w:t>
      </w:r>
      <w:proofErr w:type="gram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приучен</w:t>
      </w:r>
      <w:proofErr w:type="gram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4.3. При приготовлении пищи дома рекомендуется: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Контролировать потребление жира: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исключать жареные блюда, приготовление во фритюре;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не использовать дополнительный жир при приготовлении;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Контролировать потребление сахара: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Контролировать потребление соли: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норма потребления соли составляет 3-5 г в сутки в готовых блюдах;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Выбирать правильные способы кулинарной обработки пищи: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припускание</w:t>
      </w:r>
      <w:proofErr w:type="spellEnd"/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Приложение 1</w:t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br/>
        <w:t>к </w:t>
      </w:r>
      <w:hyperlink r:id="rId8" w:anchor="0" w:history="1">
        <w:r w:rsidRPr="005203C4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Анкета школьника (заполняется вместе с родителями)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1. УДОВЛЕТВОРЯЕТ ЛИ ВАС СИСТЕМА ОРГАНИЗАЦИИ ПИТАНИЯ В ШКОЛЕ?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E8C759C" wp14:editId="4D88C27B">
            <wp:extent cx="107315" cy="161290"/>
            <wp:effectExtent l="0" t="0" r="6985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299B63D" wp14:editId="2DF0F590">
            <wp:extent cx="107315" cy="161290"/>
            <wp:effectExtent l="0" t="0" r="6985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0096005" wp14:editId="52B556F6">
            <wp:extent cx="107315" cy="161290"/>
            <wp:effectExtent l="0" t="0" r="6985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2. УДОВЛЕТВОРЯЕТ ЛИ ВАС САНИТАРНОЕ СОСТОЯНИЕ ШКОЛЬНОЙ СТОЛОВОЙ?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1D60F96" wp14:editId="5C209667">
            <wp:extent cx="107315" cy="161290"/>
            <wp:effectExtent l="0" t="0" r="6985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936CE00" wp14:editId="7689B502">
            <wp:extent cx="107315" cy="161290"/>
            <wp:effectExtent l="0" t="0" r="6985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BF1F3DB" wp14:editId="2C24E237">
            <wp:extent cx="107315" cy="161290"/>
            <wp:effectExtent l="0" t="0" r="6985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ЗАТРУДНЯЮСЬ ОТВЕТИТЬ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3. ПИТАЕТЕСЬ ЛИ ВЫ В ШКОЛЬНОЙ СТОЛОВОЙ?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E0720AA" wp14:editId="127CD494">
            <wp:extent cx="107315" cy="161290"/>
            <wp:effectExtent l="0" t="0" r="6985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9F3FBCB" wp14:editId="000F8646">
            <wp:extent cx="107315" cy="161290"/>
            <wp:effectExtent l="0" t="0" r="6985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3.1. ЕСЛИ НЕТ, ТО ПО КАКОЙ ПРИЧИНЕ?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 wp14:anchorId="6E9ED1A4" wp14:editId="5DDD72D8">
            <wp:extent cx="107315" cy="161290"/>
            <wp:effectExtent l="0" t="0" r="6985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 НРАВИТСЯ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38BB019" wp14:editId="70EF6A93">
            <wp:extent cx="107315" cy="161290"/>
            <wp:effectExtent l="0" t="0" r="6985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 УСПЕВАЕТЕ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BD86BC9" wp14:editId="28ABC487">
            <wp:extent cx="107315" cy="161290"/>
            <wp:effectExtent l="0" t="0" r="6985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ПИТАЕТЕСЬ ДОМА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4. В ШКОЛЕ ВЫ ПОЛУЧАЕТЕ: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09F45F5" wp14:editId="594BBCD1">
            <wp:extent cx="107315" cy="161290"/>
            <wp:effectExtent l="0" t="0" r="6985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ГОРЯЧИЙ ЗАВТРАК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9977E95" wp14:editId="53E0001B">
            <wp:extent cx="107315" cy="161290"/>
            <wp:effectExtent l="0" t="0" r="6985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ГОРЯЧИЙ ОБЕД (С ПЕРВЫМ БЛЮДОМ)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370EDD0" wp14:editId="2E6034E2">
            <wp:extent cx="107315" cy="161290"/>
            <wp:effectExtent l="0" t="0" r="6985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2-РАЗОВОЕ ГОРЯЧЕЕ ПИТАНИЕ (ЗАВТРАК + ОБЕД)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5. НАЕДАЕТЕСЬ ЛИ ВЫ В ШКОЛЕ?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BD9804B" wp14:editId="221B8DF2">
            <wp:extent cx="107315" cy="161290"/>
            <wp:effectExtent l="0" t="0" r="6985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6214872" wp14:editId="15E4F47D">
            <wp:extent cx="107315" cy="161290"/>
            <wp:effectExtent l="0" t="0" r="6985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B84264C" wp14:editId="67BDDEA4">
            <wp:extent cx="107315" cy="161290"/>
            <wp:effectExtent l="0" t="0" r="6985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6. ХВАТАЕТ ЛИ ПРОДОЛЖИТЕЛЬНОСТИ ПЕРЕМЕНЫ ДЛЯ ТОГО, ЧТОБЫ ПОЕСТЬ В ШКОЛЕ?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A1319C8" wp14:editId="49D1168D">
            <wp:extent cx="107315" cy="161290"/>
            <wp:effectExtent l="0" t="0" r="6985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55AF3AA" wp14:editId="3D42B5CC">
            <wp:extent cx="107315" cy="161290"/>
            <wp:effectExtent l="0" t="0" r="698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7. НРАВИТСЯ ПИТАНИЕ В ШКОЛЬНОЙ СТОЛОВОЙ?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3452275" wp14:editId="4E47CA0E">
            <wp:extent cx="107315" cy="161290"/>
            <wp:effectExtent l="0" t="0" r="6985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31F55FA" wp14:editId="543217F5">
            <wp:extent cx="107315" cy="161290"/>
            <wp:effectExtent l="0" t="0" r="6985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0CDFE6D" wp14:editId="19A66F12">
            <wp:extent cx="107315" cy="161290"/>
            <wp:effectExtent l="0" t="0" r="6985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 ВСЕГДА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7.1. ЕСЛИ НЕ НРАВИТСЯ, ТО ПОЧЕМУ?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0FFC65B" wp14:editId="0F69491C">
            <wp:extent cx="107315" cy="161290"/>
            <wp:effectExtent l="0" t="0" r="6985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НЕВКУСНО ГОТОВЯТ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526658D" wp14:editId="3D12BCC5">
            <wp:extent cx="107315" cy="161290"/>
            <wp:effectExtent l="0" t="0" r="6985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ОДНООБРАЗНОЕ ПИТАНИЕ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2E0B6A6" wp14:editId="51CBB30E">
            <wp:extent cx="107315" cy="161290"/>
            <wp:effectExtent l="0" t="0" r="6985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ГОТОВЯТ НЕЛЮБИМУЮ ПИЩУ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EA0F522" wp14:editId="4FE8D30C">
            <wp:extent cx="107315" cy="161290"/>
            <wp:effectExtent l="0" t="0" r="6985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ОСТЫВШАЯ ЕДА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1F547F4" wp14:editId="29D63841">
            <wp:extent cx="107315" cy="161290"/>
            <wp:effectExtent l="0" t="0" r="6985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МАЛЕНЬКИЕ ПОРЦИИ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A38DC93" wp14:editId="1272A768">
            <wp:extent cx="107315" cy="161290"/>
            <wp:effectExtent l="0" t="0" r="6985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ИНОЕ _______________________________________________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8. ПОСЕЩАЕТЕ ЛИ ГРУППУ ПРОДЛЁННОГО ДНЯ?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 wp14:anchorId="538CF681" wp14:editId="61D995C4">
            <wp:extent cx="107315" cy="161290"/>
            <wp:effectExtent l="0" t="0" r="6985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3537769" wp14:editId="6418F6F8">
            <wp:extent cx="107315" cy="161290"/>
            <wp:effectExtent l="0" t="0" r="6985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8.1. ЕСЛИ ДА, ТО ПОЛУЧАЕТЕ ЛИ ПОЛДНИК В ШКОЛЕ ИЛИ ПРИНОСИТ# ИЗ ДОМА?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CC783CD" wp14:editId="7D18250A">
            <wp:extent cx="107315" cy="161290"/>
            <wp:effectExtent l="0" t="0" r="6985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ПОЛУЧАЕТ ПОЛДНИК В ШКОЛЕ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251DB1C" wp14:editId="394F78FF">
            <wp:extent cx="107315" cy="161290"/>
            <wp:effectExtent l="0" t="0" r="6985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ПРИНОСИТ ИЗ ДОМА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9. УСТРАИВАЕТ МЕНЮ ШКОЛЬНОЙ СТОЛОВОЙ?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8E18E7A" wp14:editId="4023AEDE">
            <wp:extent cx="107315" cy="161290"/>
            <wp:effectExtent l="0" t="0" r="6985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3F85E9B" wp14:editId="5A521F9F">
            <wp:extent cx="107315" cy="161290"/>
            <wp:effectExtent l="0" t="0" r="6985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B940343" wp14:editId="184DD56B">
            <wp:extent cx="107315" cy="161290"/>
            <wp:effectExtent l="0" t="0" r="6985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ИНОГДА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10. СЧИТАЕТЕ ЛИ ПИТАНИЕ В ШКОЛЕ ЗДОРОВЫМ И ПОЛНОЦЕННЫМ?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D01268F" wp14:editId="30314119">
            <wp:extent cx="107315" cy="161290"/>
            <wp:effectExtent l="0" t="0" r="6985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ДА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C9B2D60" wp14:editId="1828BF27">
            <wp:extent cx="107315" cy="161290"/>
            <wp:effectExtent l="0" t="0" r="6985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 НЕТ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11. ВАШИ ПРЕДЛОЖЕНИЯ ПО ИЗМЕНЕНИЮ МЕНЮ: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12. ВАШИ ПРЕДЛОЖЕНИЯ ПО УЛУЧШЕНИЮ ПИТАНИЯ В ШКОЛЕ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Приложение 2</w:t>
      </w: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br/>
        <w:t>к </w:t>
      </w:r>
      <w:hyperlink r:id="rId10" w:anchor="0" w:history="1">
        <w:r w:rsidRPr="005203C4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5203C4" w:rsidRPr="005203C4" w:rsidRDefault="005203C4" w:rsidP="005203C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 оценочного листа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Дата проведения проверки:</w:t>
      </w:r>
    </w:p>
    <w:p w:rsidR="005203C4" w:rsidRPr="005203C4" w:rsidRDefault="005203C4" w:rsidP="005203C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03C4">
        <w:rPr>
          <w:rFonts w:ascii="Times New Roman" w:eastAsia="Times New Roman" w:hAnsi="Times New Roman" w:cs="Times New Roman"/>
          <w:color w:val="33333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9389"/>
        <w:gridCol w:w="1022"/>
      </w:tblGrid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Да/нет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Имеется ли в организации меню?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 меню отсутствуют повторы блюд?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 меню отсутствуют запрещенные блюда и продукты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(за период не менее месяца)?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Имели ли факты выдачи детям остывшей пищи?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5203C4" w:rsidRPr="005203C4" w:rsidTr="005203C4"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Б) да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</w:tbl>
    <w:p w:rsidR="005203C4" w:rsidRPr="005203C4" w:rsidRDefault="005203C4" w:rsidP="00520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9"/>
      </w:tblGrid>
      <w:tr w:rsidR="005203C4" w:rsidRPr="005203C4" w:rsidTr="005203C4">
        <w:tc>
          <w:tcPr>
            <w:tcW w:w="2500" w:type="pct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Руководитель Федеральной службы</w:t>
            </w: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br/>
              <w:t>по надзору в сфере защиты прав</w:t>
            </w: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br/>
              <w:t>потребителей и благополучия человека,</w:t>
            </w: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br/>
              <w:t>Главный государственный санитарный</w:t>
            </w: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5203C4" w:rsidRPr="005203C4" w:rsidRDefault="005203C4" w:rsidP="00520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C4">
              <w:rPr>
                <w:rFonts w:ascii="Times New Roman" w:eastAsia="Times New Roman" w:hAnsi="Times New Roman" w:cs="Times New Roman"/>
                <w:lang w:eastAsia="ru-RU"/>
              </w:rPr>
              <w:t>А.Ю. Попова</w:t>
            </w:r>
          </w:p>
        </w:tc>
      </w:tr>
    </w:tbl>
    <w:p w:rsidR="007E0703" w:rsidRPr="005203C4" w:rsidRDefault="007E0703">
      <w:pPr>
        <w:rPr>
          <w:rFonts w:ascii="Times New Roman" w:hAnsi="Times New Roman" w:cs="Times New Roman"/>
        </w:rPr>
      </w:pPr>
      <w:bookmarkStart w:id="2" w:name="review"/>
      <w:bookmarkEnd w:id="2"/>
    </w:p>
    <w:sectPr w:rsidR="007E0703" w:rsidRPr="005203C4" w:rsidSect="005203C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2"/>
    <w:rsid w:val="00151472"/>
    <w:rsid w:val="005203C4"/>
    <w:rsid w:val="007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2020-10-27T09:28:00Z</cp:lastPrinted>
  <dcterms:created xsi:type="dcterms:W3CDTF">2020-10-27T09:22:00Z</dcterms:created>
  <dcterms:modified xsi:type="dcterms:W3CDTF">2020-10-27T09:28:00Z</dcterms:modified>
</cp:coreProperties>
</file>